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70FE5" w14:textId="2846781F" w:rsidR="009A56B7" w:rsidRPr="00466A0A" w:rsidRDefault="009A56B7" w:rsidP="009A56B7">
      <w:pPr>
        <w:spacing w:line="288" w:lineRule="auto"/>
      </w:pPr>
      <w:r w:rsidRPr="00466A0A">
        <w:t>Madame la Présidente</w:t>
      </w:r>
      <w:r w:rsidR="007E10E9">
        <w:t>,</w:t>
      </w:r>
    </w:p>
    <w:p w14:paraId="09049C2D" w14:textId="327B0651" w:rsidR="001A5E59" w:rsidRDefault="001A5E59" w:rsidP="009D2453">
      <w:pPr>
        <w:keepNext/>
        <w:spacing w:before="280" w:after="80"/>
      </w:pPr>
      <w:r>
        <w:t xml:space="preserve">Cette séance se tient dans un contexte </w:t>
      </w:r>
      <w:r w:rsidR="009D2453">
        <w:t xml:space="preserve">de </w:t>
      </w:r>
      <w:r>
        <w:t>mobilisations d'ampleur</w:t>
      </w:r>
      <w:r w:rsidR="00DE0E90">
        <w:t xml:space="preserve">, </w:t>
      </w:r>
      <w:r>
        <w:t xml:space="preserve">révélatrices </w:t>
      </w:r>
      <w:proofErr w:type="gramStart"/>
      <w:r w:rsidR="009D2453">
        <w:t>d’un profond</w:t>
      </w:r>
      <w:r w:rsidR="007E10E9">
        <w:t xml:space="preserve"> </w:t>
      </w:r>
      <w:r w:rsidR="009D2453">
        <w:t>malaise</w:t>
      </w:r>
      <w:proofErr w:type="gramEnd"/>
      <w:r>
        <w:t xml:space="preserve"> et d’une colère sociale croissante, notamment face à l'insuffisance des moyens alloués aux services publics et à l'érosion continue du pouvoir d'achat. </w:t>
      </w:r>
    </w:p>
    <w:p w14:paraId="4405AECA" w14:textId="77777777" w:rsidR="00DE0E90" w:rsidRDefault="001A5E59" w:rsidP="001A5E59">
      <w:pPr>
        <w:keepNext/>
        <w:spacing w:before="280" w:after="80"/>
      </w:pPr>
      <w:r>
        <w:t xml:space="preserve">Ces mouvements soulignent également la nécessité d'entendre les alertes portées de longue date par les organisations syndicales. </w:t>
      </w:r>
    </w:p>
    <w:p w14:paraId="729942FB" w14:textId="18A4D755" w:rsidR="00DE0E90" w:rsidRDefault="001A5E59" w:rsidP="001A5E59">
      <w:pPr>
        <w:keepNext/>
        <w:spacing w:before="280" w:after="80"/>
      </w:pPr>
      <w:r>
        <w:t xml:space="preserve">Face aux défis auxquels notre ministère est confronté, un </w:t>
      </w:r>
      <w:r w:rsidRPr="00466A0A">
        <w:rPr>
          <w:b/>
          <w:bCs/>
        </w:rPr>
        <w:t>dialogue social de qualité</w:t>
      </w:r>
      <w:r w:rsidR="0066146B">
        <w:rPr>
          <w:b/>
          <w:bCs/>
        </w:rPr>
        <w:t xml:space="preserve"> et à la hauteur des enjeux </w:t>
      </w:r>
      <w:r w:rsidR="00466A0A">
        <w:rPr>
          <w:b/>
          <w:bCs/>
        </w:rPr>
        <w:t>constitue l’outil</w:t>
      </w:r>
      <w:r w:rsidR="00D15831">
        <w:rPr>
          <w:b/>
          <w:bCs/>
        </w:rPr>
        <w:t xml:space="preserve"> plus </w:t>
      </w:r>
      <w:r w:rsidRPr="00466A0A">
        <w:rPr>
          <w:b/>
          <w:bCs/>
        </w:rPr>
        <w:t>que jamais indispensable</w:t>
      </w:r>
      <w:r>
        <w:t xml:space="preserve"> pour entendre les préoccupations des agents, prévenir les tensions et construire collectivement les réponses adaptées.</w:t>
      </w:r>
    </w:p>
    <w:p w14:paraId="3462729A" w14:textId="77777777" w:rsidR="001A5E59" w:rsidRDefault="001A5E59" w:rsidP="00C85F0F">
      <w:pPr>
        <w:pStyle w:val="Titre1"/>
      </w:pPr>
      <w:r>
        <w:t>Quel avenir pour les opérateurs de l'État ?</w:t>
      </w:r>
    </w:p>
    <w:p w14:paraId="3FD340DB" w14:textId="58C9FBF1" w:rsidR="001A5E59" w:rsidRDefault="001A5E59" w:rsidP="001A5E59">
      <w:pPr>
        <w:keepNext/>
        <w:spacing w:before="280" w:after="80"/>
      </w:pPr>
      <w:r>
        <w:t xml:space="preserve">La mission récemment confiée, par le gouvernement, à la députée Anne-Laure Blin relative </w:t>
      </w:r>
      <w:proofErr w:type="gramStart"/>
      <w:r>
        <w:t xml:space="preserve">à  </w:t>
      </w:r>
      <w:r w:rsidR="00DE0E90">
        <w:t>l</w:t>
      </w:r>
      <w:r>
        <w:t>a</w:t>
      </w:r>
      <w:proofErr w:type="gramEnd"/>
      <w:r>
        <w:t> tutelle de l’état sur ses opérateurs suscite de légitimes inquiétudes parmi les personnels</w:t>
      </w:r>
      <w:r w:rsidR="009D2453">
        <w:t>.</w:t>
      </w:r>
      <w:r>
        <w:t xml:space="preserve">  L’ASP </w:t>
      </w:r>
      <w:r w:rsidR="009D2453">
        <w:t xml:space="preserve">et </w:t>
      </w:r>
      <w:r>
        <w:t xml:space="preserve">FranceAgriMer ont en notamment déjà été évoqués dans différents projets ou rapports relatifs aux opérateurs de l’Etat. </w:t>
      </w:r>
    </w:p>
    <w:p w14:paraId="266BF344" w14:textId="77777777" w:rsidR="001A5E59" w:rsidRDefault="001A5E59" w:rsidP="001A5E59">
      <w:pPr>
        <w:keepNext/>
        <w:spacing w:before="280" w:after="80"/>
      </w:pPr>
      <w:r>
        <w:t xml:space="preserve">Dans un contexte où les transitions agricole, alimentaire, climatique et sanitaire exigent toujours davantage d'expertise publique, il serait paradoxal d'affaiblir les opérateurs qui constituent l'un des principaux leviers d'action de l'État sur le terrain. </w:t>
      </w:r>
    </w:p>
    <w:p w14:paraId="16604C26" w14:textId="57D3373F" w:rsidR="001A5E59" w:rsidRDefault="001A5E59" w:rsidP="001A5E59">
      <w:pPr>
        <w:keepNext/>
        <w:spacing w:before="280" w:after="80"/>
      </w:pPr>
      <w:r>
        <w:t xml:space="preserve">Or la lettre de mission mentionne explicitement des perspectives de </w:t>
      </w:r>
      <w:r w:rsidRPr="00466A0A">
        <w:rPr>
          <w:b/>
          <w:bCs/>
        </w:rPr>
        <w:t>rationalisation</w:t>
      </w:r>
      <w:r>
        <w:t xml:space="preserve">, de </w:t>
      </w:r>
      <w:r w:rsidRPr="00466A0A">
        <w:rPr>
          <w:b/>
          <w:bCs/>
        </w:rPr>
        <w:t>réinternalisation</w:t>
      </w:r>
      <w:r>
        <w:t xml:space="preserve">, </w:t>
      </w:r>
      <w:r w:rsidRPr="00466A0A">
        <w:rPr>
          <w:b/>
          <w:bCs/>
        </w:rPr>
        <w:t>voire</w:t>
      </w:r>
      <w:r>
        <w:t xml:space="preserve"> de suppression d'opérateurs. Dans ce contexte, </w:t>
      </w:r>
      <w:r w:rsidR="009D2453">
        <w:t>les agents</w:t>
      </w:r>
      <w:r>
        <w:t xml:space="preserve"> ont besoin de visibilité sur l’avenir de leurs missions, leurs emplois et leurs conditions de travail. </w:t>
      </w:r>
    </w:p>
    <w:p w14:paraId="657557F9" w14:textId="5BE635A9" w:rsidR="00DC1FE9" w:rsidRDefault="00DC1FE9" w:rsidP="00DC1FE9">
      <w:pPr>
        <w:widowControl/>
        <w:suppressAutoHyphens w:val="0"/>
        <w:autoSpaceDN/>
        <w:spacing w:beforeAutospacing="1" w:afterAutospacing="1" w:line="300" w:lineRule="atLeast"/>
        <w:textAlignment w:val="auto"/>
        <w:rPr>
          <w:rFonts w:ascii="Segoe UI" w:eastAsia="Times New Roman" w:hAnsi="Segoe UI" w:cs="Segoe UI"/>
          <w:b/>
          <w:bCs/>
          <w:kern w:val="0"/>
          <w:sz w:val="21"/>
          <w:szCs w:val="21"/>
        </w:rPr>
      </w:pPr>
      <w:r>
        <w:rPr>
          <w:rFonts w:ascii="Segoe UI" w:eastAsia="Times New Roman" w:hAnsi="Segoe UI" w:cs="Segoe UI"/>
          <w:b/>
          <w:bCs/>
          <w:kern w:val="0"/>
          <w:sz w:val="21"/>
          <w:szCs w:val="21"/>
        </w:rPr>
        <w:t xml:space="preserve">Si la mission vise à la </w:t>
      </w:r>
      <w:r w:rsidR="009C3A5C">
        <w:rPr>
          <w:rFonts w:ascii="Segoe UI" w:eastAsia="Times New Roman" w:hAnsi="Segoe UI" w:cs="Segoe UI"/>
          <w:b/>
          <w:bCs/>
          <w:kern w:val="0"/>
          <w:sz w:val="21"/>
          <w:szCs w:val="21"/>
        </w:rPr>
        <w:t xml:space="preserve">seule </w:t>
      </w:r>
      <w:r>
        <w:rPr>
          <w:rFonts w:ascii="Segoe UI" w:eastAsia="Times New Roman" w:hAnsi="Segoe UI" w:cs="Segoe UI"/>
          <w:b/>
          <w:bCs/>
          <w:kern w:val="0"/>
          <w:sz w:val="21"/>
          <w:szCs w:val="21"/>
        </w:rPr>
        <w:t xml:space="preserve">réduction de la </w:t>
      </w:r>
      <w:r w:rsidRPr="00DC1FE9">
        <w:rPr>
          <w:rFonts w:ascii="Segoe UI" w:eastAsia="Times New Roman" w:hAnsi="Segoe UI" w:cs="Segoe UI"/>
          <w:b/>
          <w:bCs/>
          <w:kern w:val="0"/>
          <w:sz w:val="21"/>
          <w:szCs w:val="21"/>
        </w:rPr>
        <w:t>dépense publique à court terme, nous ne pouvons l’accepter</w:t>
      </w:r>
      <w:r>
        <w:rPr>
          <w:rFonts w:ascii="Segoe UI" w:eastAsia="Times New Roman" w:hAnsi="Segoe UI" w:cs="Segoe UI"/>
          <w:b/>
          <w:bCs/>
          <w:kern w:val="0"/>
          <w:sz w:val="21"/>
          <w:szCs w:val="21"/>
        </w:rPr>
        <w:t>.</w:t>
      </w:r>
    </w:p>
    <w:p w14:paraId="687CE801" w14:textId="2EE39673" w:rsidR="0066146B" w:rsidRPr="007E10E9" w:rsidRDefault="00DC1FE9" w:rsidP="007E10E9">
      <w:pPr>
        <w:widowControl/>
        <w:suppressAutoHyphens w:val="0"/>
        <w:autoSpaceDN/>
        <w:spacing w:beforeAutospacing="1" w:afterAutospacing="1" w:line="300" w:lineRule="atLeast"/>
        <w:textAlignment w:val="auto"/>
        <w:rPr>
          <w:rFonts w:ascii="Segoe UI" w:eastAsia="Times New Roman" w:hAnsi="Segoe UI" w:cs="Segoe UI"/>
          <w:kern w:val="0"/>
          <w:sz w:val="21"/>
          <w:szCs w:val="21"/>
        </w:rPr>
      </w:pPr>
      <w:r w:rsidRPr="00DC1FE9">
        <w:rPr>
          <w:rFonts w:ascii="Segoe UI" w:eastAsia="Times New Roman" w:hAnsi="Segoe UI" w:cs="Segoe UI"/>
          <w:b/>
          <w:bCs/>
          <w:kern w:val="0"/>
          <w:sz w:val="21"/>
          <w:szCs w:val="21"/>
        </w:rPr>
        <w:t>Faire mieux, oui ; faire moins avec toujours moins de moyens, non.</w:t>
      </w:r>
    </w:p>
    <w:p w14:paraId="07561C7C" w14:textId="5858E5A0" w:rsidR="009D2453" w:rsidRDefault="001A5E59" w:rsidP="001A5E59">
      <w:pPr>
        <w:keepNext/>
        <w:spacing w:before="280" w:after="80"/>
        <w:rPr>
          <w:b/>
          <w:bCs/>
        </w:rPr>
      </w:pPr>
      <w:r w:rsidRPr="00466A0A">
        <w:rPr>
          <w:b/>
          <w:bCs/>
        </w:rPr>
        <w:t xml:space="preserve">Le ministère est-il associé à ces travaux et quelle analyse faites-vous de leurs </w:t>
      </w:r>
      <w:proofErr w:type="gramStart"/>
      <w:r w:rsidRPr="00466A0A">
        <w:rPr>
          <w:b/>
          <w:bCs/>
        </w:rPr>
        <w:lastRenderedPageBreak/>
        <w:t>conséquences</w:t>
      </w:r>
      <w:proofErr w:type="gramEnd"/>
      <w:r w:rsidRPr="00466A0A">
        <w:rPr>
          <w:b/>
          <w:bCs/>
        </w:rPr>
        <w:t xml:space="preserve"> potentielles pour les opérateurs de notre ministère ?</w:t>
      </w:r>
    </w:p>
    <w:p w14:paraId="617C55CC" w14:textId="77777777" w:rsidR="00A179F7" w:rsidRPr="007E10E9" w:rsidRDefault="00A179F7" w:rsidP="00A179F7">
      <w:pPr>
        <w:widowControl/>
        <w:suppressAutoHyphens w:val="0"/>
        <w:autoSpaceDN/>
        <w:spacing w:before="100" w:beforeAutospacing="1" w:after="100" w:afterAutospacing="1" w:line="300" w:lineRule="atLeast"/>
        <w:textAlignment w:val="auto"/>
        <w:rPr>
          <w:rFonts w:eastAsia="Times New Roman" w:cs="Segoe UI"/>
          <w:kern w:val="0"/>
          <w:sz w:val="21"/>
          <w:szCs w:val="21"/>
        </w:rPr>
      </w:pPr>
      <w:r w:rsidRPr="007E10E9">
        <w:rPr>
          <w:rFonts w:eastAsia="Times New Roman" w:cs="Segoe UI"/>
          <w:kern w:val="0"/>
          <w:sz w:val="21"/>
          <w:szCs w:val="21"/>
        </w:rPr>
        <w:t>Par ailleurs, le PLF 2027 prévoit de nouvelles réductions de moyens pour les opérateurs du ministère.</w:t>
      </w:r>
    </w:p>
    <w:p w14:paraId="56E3CC48" w14:textId="469C6B6C" w:rsidR="00A179F7" w:rsidRPr="007E10E9" w:rsidRDefault="00A179F7" w:rsidP="00466A0A">
      <w:pPr>
        <w:widowControl/>
        <w:suppressAutoHyphens w:val="0"/>
        <w:autoSpaceDN/>
        <w:spacing w:before="100" w:beforeAutospacing="1" w:after="100" w:afterAutospacing="1" w:line="300" w:lineRule="atLeast"/>
        <w:textAlignment w:val="auto"/>
        <w:rPr>
          <w:rFonts w:eastAsia="Times New Roman" w:cs="Segoe UI"/>
          <w:kern w:val="0"/>
          <w:sz w:val="21"/>
          <w:szCs w:val="21"/>
        </w:rPr>
      </w:pPr>
      <w:r w:rsidRPr="007E10E9">
        <w:rPr>
          <w:rFonts w:eastAsia="Times New Roman" w:cs="Segoe UI"/>
          <w:kern w:val="0"/>
          <w:sz w:val="21"/>
          <w:szCs w:val="21"/>
        </w:rPr>
        <w:t>Si le maintien des effectifs à l’ONF constitue un moindre mal, il ne permettra pas de répondre à l’augmentation constante des missions</w:t>
      </w:r>
      <w:r w:rsidR="009C3A5C" w:rsidRPr="007E10E9">
        <w:rPr>
          <w:rFonts w:eastAsia="Times New Roman" w:cs="Segoe UI"/>
          <w:kern w:val="0"/>
          <w:sz w:val="21"/>
          <w:szCs w:val="21"/>
        </w:rPr>
        <w:t xml:space="preserve">. </w:t>
      </w:r>
      <w:r w:rsidRPr="007E10E9">
        <w:rPr>
          <w:rFonts w:eastAsia="Times New Roman" w:cs="Segoe UI"/>
          <w:kern w:val="0"/>
          <w:sz w:val="21"/>
          <w:szCs w:val="21"/>
        </w:rPr>
        <w:t xml:space="preserve">Au CNPF, la situation est encore plus préoccupante : l’établissement </w:t>
      </w:r>
      <w:r w:rsidR="00DC1FE9" w:rsidRPr="007E10E9">
        <w:rPr>
          <w:rFonts w:eastAsia="Times New Roman" w:cs="Segoe UI"/>
          <w:kern w:val="0"/>
          <w:sz w:val="21"/>
          <w:szCs w:val="21"/>
        </w:rPr>
        <w:t>va subir une baisse de</w:t>
      </w:r>
      <w:r w:rsidRPr="007E10E9">
        <w:rPr>
          <w:rFonts w:eastAsia="Times New Roman" w:cs="Segoe UI"/>
          <w:kern w:val="0"/>
          <w:sz w:val="21"/>
          <w:szCs w:val="21"/>
        </w:rPr>
        <w:t xml:space="preserve"> 3 ETP alors que l’engagement de créer 50 postes supplémentaires suite </w:t>
      </w:r>
      <w:r w:rsidR="009C3A5C" w:rsidRPr="007E10E9">
        <w:rPr>
          <w:rFonts w:eastAsia="Times New Roman" w:cs="Segoe UI"/>
          <w:kern w:val="0"/>
          <w:sz w:val="21"/>
          <w:szCs w:val="21"/>
        </w:rPr>
        <w:t>à</w:t>
      </w:r>
      <w:r w:rsidRPr="007E10E9">
        <w:rPr>
          <w:rFonts w:eastAsia="Times New Roman" w:cs="Segoe UI"/>
          <w:kern w:val="0"/>
          <w:sz w:val="21"/>
          <w:szCs w:val="21"/>
        </w:rPr>
        <w:t xml:space="preserve"> la loi DFCI n’a jamais été honoré. </w:t>
      </w:r>
      <w:r w:rsidR="009C3A5C" w:rsidRPr="007E10E9">
        <w:rPr>
          <w:rFonts w:eastAsia="Times New Roman" w:cs="Segoe UI"/>
          <w:kern w:val="0"/>
          <w:sz w:val="21"/>
          <w:szCs w:val="21"/>
        </w:rPr>
        <w:t>Or</w:t>
      </w:r>
      <w:r w:rsidRPr="007E10E9">
        <w:rPr>
          <w:rFonts w:eastAsia="Times New Roman" w:cs="Segoe UI"/>
          <w:kern w:val="0"/>
          <w:sz w:val="21"/>
          <w:szCs w:val="21"/>
        </w:rPr>
        <w:t>, l’abaissement du seuil des PSG à 20 hectares accroît significativement la charge de travail.</w:t>
      </w:r>
    </w:p>
    <w:p w14:paraId="5EF40399" w14:textId="06E589C9" w:rsidR="001A5E59" w:rsidRPr="007E10E9" w:rsidRDefault="00A179F7" w:rsidP="007E10E9">
      <w:pPr>
        <w:widowControl/>
        <w:suppressAutoHyphens w:val="0"/>
        <w:autoSpaceDN/>
        <w:spacing w:before="100" w:beforeAutospacing="1" w:after="100" w:afterAutospacing="1" w:line="300" w:lineRule="atLeast"/>
        <w:textAlignment w:val="auto"/>
        <w:rPr>
          <w:rFonts w:eastAsia="Times New Roman" w:cs="Segoe UI"/>
          <w:kern w:val="0"/>
          <w:sz w:val="21"/>
          <w:szCs w:val="21"/>
        </w:rPr>
      </w:pPr>
      <w:r w:rsidRPr="007E10E9">
        <w:rPr>
          <w:rFonts w:eastAsia="Times New Roman" w:cs="Segoe UI"/>
          <w:kern w:val="0"/>
          <w:sz w:val="21"/>
          <w:szCs w:val="21"/>
        </w:rPr>
        <w:t>Est-ce le message que les ministères souhaitent adresser à des agents qui consentent déjà des efforts considérables, parfois au détriment de leur santé, pour la préservation de nos forêts ? Ce signal envoyé aux agents comme à la filière forestière est particulièrement préoccupant.</w:t>
      </w:r>
      <w:r w:rsidR="007E10E9">
        <w:rPr>
          <w:rFonts w:eastAsia="Times New Roman" w:cs="Segoe UI"/>
          <w:kern w:val="0"/>
          <w:sz w:val="21"/>
          <w:szCs w:val="21"/>
        </w:rPr>
        <w:t xml:space="preserve"> </w:t>
      </w:r>
    </w:p>
    <w:p w14:paraId="0D8F69E3" w14:textId="77777777" w:rsidR="001A5E59" w:rsidRDefault="001A5E59" w:rsidP="00C85F0F">
      <w:pPr>
        <w:pStyle w:val="Titre1"/>
      </w:pPr>
      <w:r>
        <w:t>Le rapport social unique 2025</w:t>
      </w:r>
    </w:p>
    <w:p w14:paraId="0857B022" w14:textId="21CD7A96" w:rsidR="00624751" w:rsidRPr="00624751" w:rsidRDefault="001A5E59" w:rsidP="00624751">
      <w:r>
        <w:t>Notre déclaration s'appuie sur ce que le rapport social unique 2025 indique, mais aussi et surtout sur ce qu'il ne mentionne pas et sur les enseignements que l'on peut en tirer.</w:t>
      </w:r>
      <w:r w:rsidR="00624751">
        <w:t xml:space="preserve"> </w:t>
      </w:r>
      <w:r w:rsidR="006E44C6">
        <w:t>Nous espérons, lorsque l’accès à la base de données nationales sera effectif, pouvoir approfondir ces analyses.</w:t>
      </w:r>
    </w:p>
    <w:p w14:paraId="51DDDCB7" w14:textId="2DCDEE5B" w:rsidR="001A5E59" w:rsidRDefault="001A5E59" w:rsidP="001A5E59"/>
    <w:p w14:paraId="47693B9C" w14:textId="77777777" w:rsidR="001A5E59" w:rsidRDefault="001A5E59" w:rsidP="00C85F0F">
      <w:pPr>
        <w:pStyle w:val="Titre2"/>
      </w:pPr>
      <w:r>
        <w:t>Violences au travail : 16 % des agents, 121 signalements</w:t>
      </w:r>
    </w:p>
    <w:p w14:paraId="307A3DB1" w14:textId="11D1079B" w:rsidR="00DE0E90" w:rsidRDefault="001A5E59" w:rsidP="001A5E59">
      <w:r>
        <w:rPr>
          <w:b/>
        </w:rPr>
        <w:t>16 % des agents déclarent avoir été exposés à des actes de violence, du harcèlement ou des agissements sexistes au cours des</w:t>
      </w:r>
      <w:r w:rsidR="009D2453">
        <w:rPr>
          <w:b/>
        </w:rPr>
        <w:t xml:space="preserve"> </w:t>
      </w:r>
      <w:r>
        <w:rPr>
          <w:b/>
        </w:rPr>
        <w:t>24 derniers</w:t>
      </w:r>
      <w:r w:rsidR="00DE0E90">
        <w:rPr>
          <w:b/>
        </w:rPr>
        <w:t xml:space="preserve"> mois</w:t>
      </w:r>
      <w:r>
        <w:t xml:space="preserve">. </w:t>
      </w:r>
    </w:p>
    <w:p w14:paraId="2B20B56D" w14:textId="5FF40BEC" w:rsidR="001A5E59" w:rsidRDefault="001A5E59" w:rsidP="001A5E59">
      <w:r>
        <w:t xml:space="preserve">Cela représente environ 4 800 agents. </w:t>
      </w:r>
    </w:p>
    <w:p w14:paraId="05266E0D" w14:textId="77777777" w:rsidR="009D2453" w:rsidRDefault="009D2453" w:rsidP="001A5E59"/>
    <w:p w14:paraId="20DCE3B3" w14:textId="1B1D8719" w:rsidR="001A5E59" w:rsidRDefault="001A5E59" w:rsidP="001A5E59">
      <w:r>
        <w:t xml:space="preserve">Pourtant, le dispositif ministériel de signalement n'a reçu que 121 signalements en 2025. </w:t>
      </w:r>
      <w:r w:rsidR="009D2453">
        <w:t>S</w:t>
      </w:r>
      <w:r>
        <w:t>ur 40 jugés recevables, seuls 8 signalants ont accepté de passer en phase contradictoire.</w:t>
      </w:r>
    </w:p>
    <w:p w14:paraId="48B12D47" w14:textId="77777777" w:rsidR="009D2453" w:rsidRDefault="009D2453" w:rsidP="001A5E59">
      <w:pPr>
        <w:rPr>
          <w:b/>
          <w:bCs/>
        </w:rPr>
      </w:pPr>
    </w:p>
    <w:p w14:paraId="55182058" w14:textId="669D7946" w:rsidR="001A5E59" w:rsidRDefault="001A5E59" w:rsidP="001A5E59">
      <w:r>
        <w:t xml:space="preserve">En 2024, </w:t>
      </w:r>
      <w:r w:rsidR="009D2453">
        <w:t xml:space="preserve">seuls </w:t>
      </w:r>
      <w:r>
        <w:rPr>
          <w:b/>
        </w:rPr>
        <w:t>55 % des agents connaiss</w:t>
      </w:r>
      <w:r w:rsidR="009D2453">
        <w:rPr>
          <w:b/>
        </w:rPr>
        <w:t>ai</w:t>
      </w:r>
      <w:r>
        <w:rPr>
          <w:b/>
        </w:rPr>
        <w:t>ent la cellule de signalement</w:t>
      </w:r>
      <w:r>
        <w:t xml:space="preserve"> ; le ministère attribuait la hausse des </w:t>
      </w:r>
      <w:r w:rsidR="009D2453">
        <w:t>signalements</w:t>
      </w:r>
      <w:r>
        <w:t xml:space="preserve"> à la refonte de sa communication sur la cellule.</w:t>
      </w:r>
    </w:p>
    <w:p w14:paraId="638F155B" w14:textId="77777777" w:rsidR="009D2453" w:rsidRDefault="009D2453" w:rsidP="001A5E59"/>
    <w:p w14:paraId="199DB367" w14:textId="42424E38" w:rsidR="001A5E59" w:rsidRDefault="001A5E59" w:rsidP="001A5E59">
      <w:r>
        <w:t xml:space="preserve">L'information des agents </w:t>
      </w:r>
      <w:r w:rsidR="009D2453">
        <w:t xml:space="preserve">constitue </w:t>
      </w:r>
      <w:r>
        <w:t>bien la première condition pour que ce dispositif soit saisi. Nous demandons qu'une information sur ce dispositif soit adressée</w:t>
      </w:r>
      <w:r w:rsidRPr="00466A0A">
        <w:rPr>
          <w:u w:val="single"/>
        </w:rPr>
        <w:t xml:space="preserve"> à chaque </w:t>
      </w:r>
      <w:r>
        <w:t>agent et souhaitons savoir ce que deviennent les signalements jugés non recevables.</w:t>
      </w:r>
    </w:p>
    <w:p w14:paraId="5F72BFA9" w14:textId="77777777" w:rsidR="009D2453" w:rsidRDefault="009D2453" w:rsidP="001A5E59"/>
    <w:p w14:paraId="51F82B51" w14:textId="77777777" w:rsidR="001A5E59" w:rsidRDefault="001A5E59" w:rsidP="00C85F0F">
      <w:pPr>
        <w:pStyle w:val="Titre2"/>
      </w:pPr>
      <w:r>
        <w:t>Formations spécialisées : 21 visites de sites dans l'année</w:t>
      </w:r>
    </w:p>
    <w:p w14:paraId="446E2BE7" w14:textId="77777777" w:rsidR="00474307" w:rsidRDefault="00474307" w:rsidP="001A5E59"/>
    <w:p w14:paraId="38A2A568" w14:textId="51972811" w:rsidR="001A5E59" w:rsidRDefault="001A5E59" w:rsidP="001A5E59">
      <w:r>
        <w:t xml:space="preserve">Pour plus de 31 000 agents, le rapport recense seulement </w:t>
      </w:r>
      <w:r>
        <w:rPr>
          <w:b/>
        </w:rPr>
        <w:t>21 visites de sites, aucune enquête pour maladie professionnelle, 2 demandes d'expertise pour 3 500 euros, et 10 signalements de danger grave et imminent</w:t>
      </w:r>
      <w:r>
        <w:t xml:space="preserve">, dont aucun n'a donné lieu à une saisine de </w:t>
      </w:r>
      <w:r>
        <w:lastRenderedPageBreak/>
        <w:t>l'inspection du travail.</w:t>
      </w:r>
    </w:p>
    <w:p w14:paraId="2EE8E447" w14:textId="77777777" w:rsidR="00474307" w:rsidRDefault="00474307" w:rsidP="001A5E59"/>
    <w:p w14:paraId="52B05E99" w14:textId="47714335" w:rsidR="001A5E59" w:rsidRDefault="001A5E59" w:rsidP="001A5E59">
      <w:r>
        <w:t xml:space="preserve">Sur les </w:t>
      </w:r>
      <w:r w:rsidRPr="00466A0A">
        <w:rPr>
          <w:b/>
          <w:bCs/>
        </w:rPr>
        <w:t xml:space="preserve">risques psychosociaux, </w:t>
      </w:r>
      <w:r>
        <w:t xml:space="preserve">le rapport ne donne que des chiffres de procédure : le nombre de documents uniques et de programmes de prévention qui les intègrent. Rien sur la situation elle-même, alors que de </w:t>
      </w:r>
      <w:r w:rsidR="00DE0E90">
        <w:t xml:space="preserve">trop </w:t>
      </w:r>
      <w:r>
        <w:t xml:space="preserve">nombreuses remontées font état d'un mal-être des agents ou de </w:t>
      </w:r>
      <w:r w:rsidR="00474307">
        <w:t xml:space="preserve">pratiques de </w:t>
      </w:r>
      <w:r>
        <w:t>management déviant.</w:t>
      </w:r>
    </w:p>
    <w:p w14:paraId="4BAA9C3A" w14:textId="77777777" w:rsidR="00474307" w:rsidRDefault="00474307" w:rsidP="001A5E59"/>
    <w:p w14:paraId="12D6A19B" w14:textId="598765AA" w:rsidR="00474307" w:rsidRDefault="001A5E59" w:rsidP="001A5E59">
      <w:pPr>
        <w:pBdr>
          <w:top w:val="none" w:sz="4" w:space="0" w:color="000000"/>
          <w:left w:val="none" w:sz="4" w:space="0" w:color="000000"/>
          <w:bottom w:val="none" w:sz="4" w:space="0" w:color="000000"/>
          <w:right w:val="none" w:sz="4" w:space="0" w:color="000000"/>
        </w:pBdr>
      </w:pPr>
      <w:r>
        <w:t xml:space="preserve">Par ailleurs, </w:t>
      </w:r>
      <w:r w:rsidR="00474307">
        <w:t xml:space="preserve">les données reposent sur une enquête à laquelle seulement 38,5 % des services ont répondu, dont 62 établissements d'enseignement </w:t>
      </w:r>
      <w:r>
        <w:t>11 formations spécialisées d'établissements publics apparaissent sans membre recensé</w:t>
      </w:r>
    </w:p>
    <w:p w14:paraId="1A310E40" w14:textId="1253E8DA" w:rsidR="0066146B" w:rsidRDefault="0066146B" w:rsidP="001A5E59">
      <w:pPr>
        <w:pBdr>
          <w:top w:val="none" w:sz="4" w:space="0" w:color="000000"/>
          <w:left w:val="none" w:sz="4" w:space="0" w:color="000000"/>
          <w:bottom w:val="none" w:sz="4" w:space="0" w:color="000000"/>
          <w:right w:val="none" w:sz="4" w:space="0" w:color="000000"/>
        </w:pBdr>
      </w:pPr>
      <w:r>
        <w:t xml:space="preserve">Le déséquilibre est </w:t>
      </w:r>
      <w:proofErr w:type="gramStart"/>
      <w:r>
        <w:t>évident .</w:t>
      </w:r>
      <w:proofErr w:type="gramEnd"/>
    </w:p>
    <w:p w14:paraId="5329E8ED" w14:textId="04BF8161" w:rsidR="001A5E59" w:rsidRDefault="001A5E59" w:rsidP="001A5E59">
      <w:pPr>
        <w:pBdr>
          <w:top w:val="none" w:sz="4" w:space="0" w:color="000000"/>
          <w:left w:val="none" w:sz="4" w:space="0" w:color="000000"/>
          <w:bottom w:val="none" w:sz="4" w:space="0" w:color="000000"/>
          <w:right w:val="none" w:sz="4" w:space="0" w:color="000000"/>
        </w:pBdr>
      </w:pPr>
      <w:r>
        <w:t>.</w:t>
      </w:r>
    </w:p>
    <w:p w14:paraId="3DE9505F" w14:textId="41D32135" w:rsidR="00474307" w:rsidRDefault="001A5E59" w:rsidP="001A5E59">
      <w:r>
        <w:t>La faiblesse de ces chiffres n’atteste pas de bonnes conditions de travail</w:t>
      </w:r>
      <w:r w:rsidR="00474307">
        <w:t> !</w:t>
      </w:r>
      <w:r>
        <w:t xml:space="preserve"> </w:t>
      </w:r>
    </w:p>
    <w:p w14:paraId="37D248C8" w14:textId="77777777" w:rsidR="00474307" w:rsidRDefault="001A5E59" w:rsidP="001A5E59">
      <w:r>
        <w:t>Nous en déduisons plutôt que</w:t>
      </w:r>
      <w:r w:rsidR="00474307">
        <w:t> :</w:t>
      </w:r>
    </w:p>
    <w:p w14:paraId="18B79520" w14:textId="5BADC638" w:rsidR="00474307" w:rsidRDefault="001A5E59" w:rsidP="00474307">
      <w:pPr>
        <w:pStyle w:val="Paragraphedeliste"/>
        <w:numPr>
          <w:ilvl w:val="0"/>
          <w:numId w:val="24"/>
        </w:numPr>
      </w:pPr>
      <w:proofErr w:type="gramStart"/>
      <w:r>
        <w:t>d'une</w:t>
      </w:r>
      <w:proofErr w:type="gramEnd"/>
      <w:r>
        <w:t xml:space="preserve"> part, que les instances chargées de les examiner manquent de temps et de moyens </w:t>
      </w:r>
    </w:p>
    <w:p w14:paraId="09D9A1AB" w14:textId="4844F6A9" w:rsidR="001A5E59" w:rsidRDefault="001A5E59" w:rsidP="00466A0A">
      <w:pPr>
        <w:pStyle w:val="Paragraphedeliste"/>
        <w:numPr>
          <w:ilvl w:val="0"/>
          <w:numId w:val="24"/>
        </w:numPr>
      </w:pPr>
      <w:proofErr w:type="gramStart"/>
      <w:r>
        <w:t>et</w:t>
      </w:r>
      <w:proofErr w:type="gramEnd"/>
      <w:r>
        <w:t>, d'autre part, que l'administration ne répond pas aux alertes à leur réelle mesure.</w:t>
      </w:r>
    </w:p>
    <w:p w14:paraId="7D1BE13A" w14:textId="53C2555D" w:rsidR="001A5E59" w:rsidRDefault="001A5E59" w:rsidP="001A5E59">
      <w:pPr>
        <w:pBdr>
          <w:top w:val="none" w:sz="4" w:space="0" w:color="000000"/>
          <w:left w:val="none" w:sz="4" w:space="0" w:color="000000"/>
          <w:bottom w:val="none" w:sz="4" w:space="0" w:color="000000"/>
          <w:right w:val="none" w:sz="4" w:space="0" w:color="000000"/>
        </w:pBdr>
        <w:rPr>
          <w:rFonts w:ascii="Segoe UI" w:eastAsia="Segoe UI" w:hAnsi="Segoe UI" w:cs="Segoe UI"/>
          <w:color w:val="000000"/>
          <w:sz w:val="21"/>
        </w:rPr>
      </w:pPr>
      <w:r>
        <w:t>Nous demandons la fixation d'un objectif minimal annuel de visites de sites, la régularisation des formations spécialisées incomplètes et une participation de l'ensemble des services aux enquêtes afin de disposer d'indicateurs réellement exploitables</w:t>
      </w:r>
      <w:r>
        <w:rPr>
          <w:rFonts w:ascii="Segoe UI" w:eastAsia="Segoe UI" w:hAnsi="Segoe UI" w:cs="Segoe UI"/>
          <w:color w:val="000000"/>
          <w:sz w:val="21"/>
        </w:rPr>
        <w:t>.</w:t>
      </w:r>
    </w:p>
    <w:p w14:paraId="08F7CBBB" w14:textId="5D6597EA" w:rsidR="00466A0A" w:rsidRDefault="00466A0A" w:rsidP="001A5E59">
      <w:pPr>
        <w:pBdr>
          <w:top w:val="none" w:sz="4" w:space="0" w:color="000000"/>
          <w:left w:val="none" w:sz="4" w:space="0" w:color="000000"/>
          <w:bottom w:val="none" w:sz="4" w:space="0" w:color="000000"/>
          <w:right w:val="none" w:sz="4" w:space="0" w:color="000000"/>
        </w:pBdr>
        <w:rPr>
          <w:rFonts w:ascii="Segoe UI" w:eastAsia="Segoe UI" w:hAnsi="Segoe UI" w:cs="Segoe UI"/>
          <w:color w:val="000000"/>
          <w:sz w:val="21"/>
        </w:rPr>
      </w:pPr>
      <w:r>
        <w:t>La prise en compte de la pénibilité du travail en abattoir (horaires, température, humidité et bruit) doit enfin être prise en compte dans la durée de carrière</w:t>
      </w:r>
    </w:p>
    <w:p w14:paraId="319C728B" w14:textId="349A35A0" w:rsidR="001A5E59" w:rsidRDefault="001A5E59" w:rsidP="00C85F0F">
      <w:pPr>
        <w:pStyle w:val="Titre2"/>
      </w:pPr>
      <w:r>
        <w:t>Promotions :</w:t>
      </w:r>
      <w:r w:rsidR="00466A0A">
        <w:t xml:space="preserve"> des traitements inégaux</w:t>
      </w:r>
    </w:p>
    <w:p w14:paraId="02F3371A" w14:textId="77777777" w:rsidR="00474307" w:rsidRDefault="00474307" w:rsidP="001A5E59">
      <w:pPr>
        <w:pBdr>
          <w:top w:val="none" w:sz="4" w:space="0" w:color="000000"/>
          <w:left w:val="none" w:sz="4" w:space="0" w:color="000000"/>
          <w:bottom w:val="none" w:sz="4" w:space="0" w:color="000000"/>
          <w:right w:val="none" w:sz="4" w:space="0" w:color="000000"/>
        </w:pBdr>
        <w:spacing w:line="300" w:lineRule="atLeast"/>
      </w:pPr>
    </w:p>
    <w:p w14:paraId="4DAF550F" w14:textId="1B080874" w:rsidR="00474307" w:rsidRDefault="001A5E59" w:rsidP="001A5E59">
      <w:pPr>
        <w:pBdr>
          <w:top w:val="none" w:sz="4" w:space="0" w:color="000000"/>
          <w:left w:val="none" w:sz="4" w:space="0" w:color="000000"/>
          <w:bottom w:val="none" w:sz="4" w:space="0" w:color="000000"/>
          <w:right w:val="none" w:sz="4" w:space="0" w:color="000000"/>
        </w:pBdr>
        <w:spacing w:line="300" w:lineRule="atLeast"/>
      </w:pPr>
      <w:r>
        <w:t xml:space="preserve">Les promotions révèlent des écarts importants : chez les professeurs certifiés de l'enseignement agricole, seuls 9,1 % des agents promouvables accèdent à la classe exceptionnelle contre 23 % </w:t>
      </w:r>
      <w:r w:rsidR="00DE0E90">
        <w:t>pour</w:t>
      </w:r>
      <w:r>
        <w:t xml:space="preserve"> </w:t>
      </w:r>
      <w:proofErr w:type="gramStart"/>
      <w:r>
        <w:t>la</w:t>
      </w:r>
      <w:proofErr w:type="gramEnd"/>
      <w:r>
        <w:t xml:space="preserve"> hors classe.</w:t>
      </w:r>
    </w:p>
    <w:p w14:paraId="59E31DBB" w14:textId="1E390F01" w:rsidR="001A5E59" w:rsidRDefault="001A5E59" w:rsidP="001A5E59">
      <w:pPr>
        <w:pBdr>
          <w:top w:val="none" w:sz="4" w:space="0" w:color="000000"/>
          <w:left w:val="none" w:sz="4" w:space="0" w:color="000000"/>
          <w:bottom w:val="none" w:sz="4" w:space="0" w:color="000000"/>
          <w:right w:val="none" w:sz="4" w:space="0" w:color="000000"/>
        </w:pBdr>
        <w:spacing w:line="300" w:lineRule="atLeast"/>
      </w:pPr>
      <w:r>
        <w:t>La tendance est identique pour les professeurs de lycée professionnel agricole et les conseillers principaux d'éducation.</w:t>
      </w:r>
    </w:p>
    <w:p w14:paraId="78F86399" w14:textId="23585083" w:rsidR="001A5E59" w:rsidRDefault="001A5E59" w:rsidP="001A5E59">
      <w:pPr>
        <w:pBdr>
          <w:top w:val="none" w:sz="4" w:space="0" w:color="000000"/>
          <w:left w:val="none" w:sz="4" w:space="0" w:color="000000"/>
          <w:bottom w:val="none" w:sz="4" w:space="0" w:color="000000"/>
          <w:right w:val="none" w:sz="4" w:space="0" w:color="000000"/>
        </w:pBdr>
        <w:spacing w:line="300" w:lineRule="atLeast"/>
      </w:pPr>
      <w:r>
        <w:t xml:space="preserve">Le grade dont le taux de promotion est le plus faible est </w:t>
      </w:r>
      <w:r w:rsidR="00145AD8">
        <w:t xml:space="preserve">celui pour lequel </w:t>
      </w:r>
      <w:r w:rsidR="00145AD8" w:rsidRPr="00145AD8">
        <w:t>les lignes directrices de gestion ne prévoient aucun barème explicite</w:t>
      </w:r>
      <w:r w:rsidR="00145AD8">
        <w:t xml:space="preserve">. </w:t>
      </w:r>
      <w:r>
        <w:t xml:space="preserve">Nous demandons </w:t>
      </w:r>
      <w:r w:rsidR="0040087D">
        <w:t xml:space="preserve">la formalisation de critères </w:t>
      </w:r>
      <w:r w:rsidR="00145AD8">
        <w:t>pour la classe exceptionnelle</w:t>
      </w:r>
      <w:r>
        <w:t xml:space="preserve"> </w:t>
      </w:r>
    </w:p>
    <w:p w14:paraId="5FB773E9" w14:textId="77777777" w:rsidR="00474307" w:rsidRDefault="00474307" w:rsidP="001A5E59">
      <w:pPr>
        <w:pBdr>
          <w:top w:val="none" w:sz="4" w:space="0" w:color="000000"/>
          <w:left w:val="none" w:sz="4" w:space="0" w:color="000000"/>
          <w:bottom w:val="none" w:sz="4" w:space="0" w:color="000000"/>
          <w:right w:val="none" w:sz="4" w:space="0" w:color="000000"/>
        </w:pBdr>
        <w:spacing w:line="300" w:lineRule="atLeast"/>
        <w:rPr>
          <w:rFonts w:ascii="Segoe UI" w:eastAsia="Segoe UI" w:hAnsi="Segoe UI" w:cs="Segoe UI"/>
          <w:sz w:val="21"/>
          <w:szCs w:val="21"/>
        </w:rPr>
      </w:pPr>
    </w:p>
    <w:p w14:paraId="6C11EE86" w14:textId="67FDD5E3" w:rsidR="001A5E59" w:rsidRDefault="001A5E59" w:rsidP="001A5E59">
      <w:pPr>
        <w:pBdr>
          <w:top w:val="none" w:sz="4" w:space="0" w:color="000000"/>
          <w:left w:val="none" w:sz="4" w:space="0" w:color="000000"/>
          <w:bottom w:val="none" w:sz="4" w:space="0" w:color="000000"/>
          <w:right w:val="none" w:sz="4" w:space="0" w:color="000000"/>
        </w:pBdr>
      </w:pPr>
      <w:r>
        <w:t xml:space="preserve">Pour les </w:t>
      </w:r>
      <w:r w:rsidRPr="00466A0A">
        <w:rPr>
          <w:b/>
          <w:bCs/>
        </w:rPr>
        <w:t>attachés d'administration de l'État</w:t>
      </w:r>
      <w:r>
        <w:t xml:space="preserve">, le taux de promotion à </w:t>
      </w:r>
      <w:proofErr w:type="gramStart"/>
      <w:r>
        <w:t>la</w:t>
      </w:r>
      <w:proofErr w:type="gramEnd"/>
      <w:r>
        <w:t xml:space="preserve"> hors classe est passé de 2,4% en </w:t>
      </w:r>
      <w:r w:rsidR="00474307">
        <w:t>2024 à</w:t>
      </w:r>
      <w:r>
        <w:t xml:space="preserve"> 1,7 %, soit 10 promotions.</w:t>
      </w:r>
    </w:p>
    <w:p w14:paraId="7BB1FFC5" w14:textId="77777777" w:rsidR="00474307" w:rsidRDefault="00474307" w:rsidP="001A5E59">
      <w:pPr>
        <w:pBdr>
          <w:top w:val="none" w:sz="4" w:space="0" w:color="000000"/>
          <w:left w:val="none" w:sz="4" w:space="0" w:color="000000"/>
          <w:bottom w:val="none" w:sz="4" w:space="0" w:color="000000"/>
          <w:right w:val="none" w:sz="4" w:space="0" w:color="000000"/>
        </w:pBdr>
      </w:pPr>
    </w:p>
    <w:p w14:paraId="06F873F5" w14:textId="1003491F" w:rsidR="001A5E59" w:rsidRDefault="001A5E59" w:rsidP="001A5E59">
      <w:pPr>
        <w:pBdr>
          <w:top w:val="none" w:sz="4" w:space="0" w:color="000000"/>
          <w:left w:val="none" w:sz="4" w:space="0" w:color="000000"/>
          <w:bottom w:val="none" w:sz="4" w:space="0" w:color="000000"/>
          <w:right w:val="none" w:sz="4" w:space="0" w:color="000000"/>
        </w:pBdr>
      </w:pPr>
      <w:r>
        <w:t>Nous souhaitons connaître la répartition de ces</w:t>
      </w:r>
      <w:r w:rsidR="0040087D">
        <w:t xml:space="preserve"> </w:t>
      </w:r>
      <w:r>
        <w:t>promotions par type d'affectation, et les perspectives ouvertes au ministère par le décret du 19 mai 2026.</w:t>
      </w:r>
    </w:p>
    <w:p w14:paraId="0485396D" w14:textId="77777777" w:rsidR="001A5E59" w:rsidRDefault="001A5E59" w:rsidP="00C85F0F">
      <w:pPr>
        <w:pStyle w:val="Titre2"/>
      </w:pPr>
      <w:r>
        <w:t>Egalité professionnelle : l'écart se creuse sur les primes</w:t>
      </w:r>
    </w:p>
    <w:p w14:paraId="4B989A1F" w14:textId="77777777" w:rsidR="00474307" w:rsidRDefault="00474307" w:rsidP="001A5E59">
      <w:pPr>
        <w:pBdr>
          <w:top w:val="none" w:sz="4" w:space="0" w:color="000000"/>
          <w:left w:val="none" w:sz="4" w:space="0" w:color="000000"/>
          <w:bottom w:val="none" w:sz="4" w:space="0" w:color="000000"/>
          <w:right w:val="none" w:sz="4" w:space="0" w:color="000000"/>
        </w:pBdr>
      </w:pPr>
    </w:p>
    <w:p w14:paraId="6BF48543" w14:textId="6918F410" w:rsidR="00474307" w:rsidRDefault="001A5E59" w:rsidP="001A5E59">
      <w:pPr>
        <w:pBdr>
          <w:top w:val="none" w:sz="4" w:space="0" w:color="000000"/>
          <w:left w:val="none" w:sz="4" w:space="0" w:color="000000"/>
          <w:bottom w:val="none" w:sz="4" w:space="0" w:color="000000"/>
          <w:right w:val="none" w:sz="4" w:space="0" w:color="000000"/>
        </w:pBdr>
      </w:pPr>
      <w:r>
        <w:t xml:space="preserve">Les promotions tendent à présent vers la parité. </w:t>
      </w:r>
    </w:p>
    <w:p w14:paraId="05F8BFA7" w14:textId="7D5806CA" w:rsidR="001A5E59" w:rsidRDefault="00474307" w:rsidP="001A5E59">
      <w:pPr>
        <w:pBdr>
          <w:top w:val="none" w:sz="4" w:space="0" w:color="000000"/>
          <w:left w:val="none" w:sz="4" w:space="0" w:color="000000"/>
          <w:bottom w:val="none" w:sz="4" w:space="0" w:color="000000"/>
          <w:right w:val="none" w:sz="4" w:space="0" w:color="000000"/>
        </w:pBdr>
      </w:pPr>
      <w:r>
        <w:t>Toutefois, des</w:t>
      </w:r>
      <w:r w:rsidR="001A5E59">
        <w:t xml:space="preserve"> écarts demeurent dans certains corps et méritent d'être analysés. C’est le cas de la liste d’aptitude des secrétaires administratifs, où 2,5 % de femmes </w:t>
      </w:r>
      <w:r>
        <w:t xml:space="preserve">sont </w:t>
      </w:r>
      <w:r w:rsidR="001A5E59">
        <w:t xml:space="preserve">promues, contre 6,2 % d’hommes ; et 2,7 % contre 5,8 % pour les techniciens supérieurs. </w:t>
      </w:r>
    </w:p>
    <w:p w14:paraId="4B63FC27" w14:textId="77777777" w:rsidR="00474307" w:rsidRDefault="00474307" w:rsidP="001A5E59">
      <w:pPr>
        <w:pBdr>
          <w:top w:val="none" w:sz="4" w:space="0" w:color="000000"/>
          <w:left w:val="none" w:sz="4" w:space="0" w:color="000000"/>
          <w:bottom w:val="none" w:sz="4" w:space="0" w:color="000000"/>
          <w:right w:val="none" w:sz="4" w:space="0" w:color="000000"/>
        </w:pBdr>
      </w:pPr>
    </w:p>
    <w:p w14:paraId="32DD0DDC" w14:textId="350972B0" w:rsidR="001A5E59" w:rsidRDefault="001A5E59" w:rsidP="001A5E59">
      <w:pPr>
        <w:pBdr>
          <w:top w:val="none" w:sz="4" w:space="0" w:color="000000"/>
          <w:left w:val="none" w:sz="4" w:space="0" w:color="000000"/>
          <w:bottom w:val="none" w:sz="4" w:space="0" w:color="000000"/>
          <w:right w:val="none" w:sz="4" w:space="0" w:color="000000"/>
        </w:pBdr>
      </w:pPr>
      <w:r>
        <w:t xml:space="preserve">Plus préoccupant </w:t>
      </w:r>
      <w:r w:rsidR="00474307">
        <w:t>est</w:t>
      </w:r>
      <w:r>
        <w:t xml:space="preserve"> l'écart de rémunération entre les femmes et les hommes </w:t>
      </w:r>
      <w:r w:rsidR="00474307">
        <w:t xml:space="preserve">qui </w:t>
      </w:r>
      <w:r>
        <w:t>atteint 10,3 % à temps plein. Il subsiste même à grade, corps et échelon identiques au travers du régime indemnitaire, avec un écart moyen de 48 euros par mois contre 37 euros en 2024.</w:t>
      </w:r>
    </w:p>
    <w:p w14:paraId="6569807E" w14:textId="7435F4D4" w:rsidR="001A5E59" w:rsidRDefault="00474307" w:rsidP="001A5E59">
      <w:pPr>
        <w:rPr>
          <w:b/>
          <w:bCs/>
        </w:rPr>
      </w:pPr>
      <w:r>
        <w:rPr>
          <w:b/>
          <w:bCs/>
        </w:rPr>
        <w:t>Pour affiner l’analyse, et identifier les causes il est nécessaire de disposer de</w:t>
      </w:r>
      <w:r w:rsidR="001A5E59">
        <w:rPr>
          <w:b/>
          <w:bCs/>
        </w:rPr>
        <w:t xml:space="preserve"> la ventilation de cet écart par programme budgétaire et par groupe de fonctions du RIFSEEP.</w:t>
      </w:r>
    </w:p>
    <w:p w14:paraId="444EFD81" w14:textId="77777777" w:rsidR="00474307" w:rsidRDefault="00474307" w:rsidP="001A5E59">
      <w:pPr>
        <w:rPr>
          <w:b/>
          <w:bCs/>
        </w:rPr>
      </w:pPr>
    </w:p>
    <w:p w14:paraId="1B735E3B" w14:textId="77777777" w:rsidR="001A5E59" w:rsidRDefault="001A5E59" w:rsidP="001A5E59">
      <w:r>
        <w:t xml:space="preserve">Cet écart de rémunération est à mettre en perspective avec les absences pour raison de santé. </w:t>
      </w:r>
    </w:p>
    <w:p w14:paraId="731DFEB0" w14:textId="77777777" w:rsidR="00474307" w:rsidRDefault="001A5E59" w:rsidP="001A5E59">
      <w:r>
        <w:t xml:space="preserve">Les femmes représentent 61 % des agents, mais 70 % des jours de carence imputés en 2025 : 9 383 jours contre 4 074 pour les hommes. </w:t>
      </w:r>
    </w:p>
    <w:p w14:paraId="33F2CBF6" w14:textId="60C0A0F8" w:rsidR="001A5E59" w:rsidRDefault="001A5E59" w:rsidP="001A5E59">
      <w:pPr>
        <w:rPr>
          <w:b/>
          <w:bCs/>
        </w:rPr>
      </w:pPr>
      <w:r w:rsidRPr="00466A0A">
        <w:rPr>
          <w:b/>
          <w:bCs/>
        </w:rPr>
        <w:t>Chacun de ces jours est une journée de salaire en moins.</w:t>
      </w:r>
    </w:p>
    <w:p w14:paraId="58EC2DD2" w14:textId="77777777" w:rsidR="00474307" w:rsidRPr="00466A0A" w:rsidRDefault="00474307" w:rsidP="001A5E59">
      <w:pPr>
        <w:rPr>
          <w:b/>
          <w:bCs/>
        </w:rPr>
      </w:pPr>
    </w:p>
    <w:p w14:paraId="04875DA2" w14:textId="54FE54FD" w:rsidR="001A5E59" w:rsidRDefault="001A5E59" w:rsidP="001A5E59">
      <w:r>
        <w:t xml:space="preserve">De façon identique et apparemment immuable, </w:t>
      </w:r>
      <w:r w:rsidR="0040087D">
        <w:t>nou</w:t>
      </w:r>
      <w:r w:rsidR="006D5D8D">
        <w:t xml:space="preserve">s </w:t>
      </w:r>
      <w:proofErr w:type="gramStart"/>
      <w:r w:rsidR="0040087D">
        <w:t xml:space="preserve">relevons </w:t>
      </w:r>
      <w:r>
        <w:t xml:space="preserve"> différence</w:t>
      </w:r>
      <w:proofErr w:type="gramEnd"/>
      <w:r>
        <w:t xml:space="preserve"> significative entre les femmes et les hommes concernant les arrêts de travail </w:t>
      </w:r>
      <w:r w:rsidRPr="00466A0A">
        <w:rPr>
          <w:b/>
          <w:bCs/>
        </w:rPr>
        <w:t>en lien avec l'activité professionnelle</w:t>
      </w:r>
      <w:r>
        <w:t>. Pour les congés pour invalidité temporaire imputable au service, pour accident ou maladie professionnelle, le nombre de journées d'absence rapporté aux effectifs est en moyenne supérieur de 36 % chez les femmes. L'écart atteint près de 65 % en catégorie A.</w:t>
      </w:r>
    </w:p>
    <w:p w14:paraId="2E663DEA" w14:textId="77777777" w:rsidR="00090AB2" w:rsidRDefault="00090AB2" w:rsidP="001A5E59"/>
    <w:p w14:paraId="581FCB58" w14:textId="77777777" w:rsidR="001A5E59" w:rsidRDefault="001A5E59" w:rsidP="001A5E59">
      <w:r>
        <w:t xml:space="preserve">À l'inverse, pour les </w:t>
      </w:r>
      <w:r w:rsidRPr="00466A0A">
        <w:rPr>
          <w:b/>
          <w:bCs/>
        </w:rPr>
        <w:t>accidents du travail ou de trajet</w:t>
      </w:r>
      <w:r>
        <w:t xml:space="preserve">, les hommes totalisent presque autant de jours d'arrêt que les femmes (1 768 contre 1 759), alors qu'ils sont beaucoup moins nombreux. </w:t>
      </w:r>
    </w:p>
    <w:p w14:paraId="56C8D159" w14:textId="23620012" w:rsidR="001A5E59" w:rsidRDefault="001A5E59" w:rsidP="001A5E59">
      <w:r>
        <w:t>Rapporté aux effectifs, c'est environ 60 % de plus.</w:t>
      </w:r>
    </w:p>
    <w:p w14:paraId="01A976A7" w14:textId="77777777" w:rsidR="00090AB2" w:rsidRDefault="00090AB2" w:rsidP="001A5E59"/>
    <w:p w14:paraId="7DDD86DE" w14:textId="2FCAB33C" w:rsidR="006D5D8D" w:rsidRDefault="006D5D8D" w:rsidP="001A5E59">
      <w:r>
        <w:t>Malgré</w:t>
      </w:r>
      <w:r w:rsidRPr="006D5D8D">
        <w:t xml:space="preserve"> nos alertes </w:t>
      </w:r>
      <w:r w:rsidR="00F70485">
        <w:t>répétées</w:t>
      </w:r>
      <w:r w:rsidRPr="006D5D8D">
        <w:t xml:space="preserve">, le ministère n'a </w:t>
      </w:r>
      <w:r>
        <w:t xml:space="preserve">pas </w:t>
      </w:r>
      <w:r w:rsidRPr="006D5D8D">
        <w:t xml:space="preserve">engagé </w:t>
      </w:r>
      <w:r>
        <w:t>de travail</w:t>
      </w:r>
      <w:r w:rsidRPr="006D5D8D">
        <w:t xml:space="preserve"> </w:t>
      </w:r>
      <w:r>
        <w:t>sur les</w:t>
      </w:r>
      <w:r w:rsidRPr="006D5D8D">
        <w:t xml:space="preserve"> causes </w:t>
      </w:r>
      <w:r w:rsidR="00F70485">
        <w:t>afin de</w:t>
      </w:r>
      <w:r w:rsidRPr="006D5D8D">
        <w:t xml:space="preserve"> prévenir ces situations </w:t>
      </w:r>
      <w:r w:rsidR="00F70485">
        <w:t>générant</w:t>
      </w:r>
      <w:r w:rsidRPr="006D5D8D">
        <w:t xml:space="preserve"> 25 000 journées d'absence.</w:t>
      </w:r>
      <w:r>
        <w:t xml:space="preserve"> Il est plus que temps.</w:t>
      </w:r>
    </w:p>
    <w:p w14:paraId="120BBA99" w14:textId="77777777" w:rsidR="006D5D8D" w:rsidRDefault="006D5D8D" w:rsidP="001A5E59"/>
    <w:p w14:paraId="2E8731F0" w14:textId="77777777" w:rsidR="001A5E59" w:rsidRDefault="001A5E59" w:rsidP="00C85F0F">
      <w:pPr>
        <w:pStyle w:val="Titre1"/>
      </w:pPr>
      <w:r>
        <w:t>Un taux de contractuels toujours croissant</w:t>
      </w:r>
    </w:p>
    <w:p w14:paraId="139396D6" w14:textId="77777777" w:rsidR="001A5E59" w:rsidRDefault="001A5E59" w:rsidP="001A5E59">
      <w:pPr>
        <w:keepNext/>
        <w:spacing w:before="280" w:after="80"/>
      </w:pPr>
      <w:r>
        <w:t>Il y a un an, dans cette même instance, nous avions relevé la hausse continue du taux de contractuels, passé de moins de 28% en 2020 à 34% en 2024. Il atteint désormais 37,8 %, et même 41% hors DDI !</w:t>
      </w:r>
    </w:p>
    <w:p w14:paraId="200E50A2" w14:textId="77777777" w:rsidR="001A5E59" w:rsidRDefault="001A5E59" w:rsidP="001A5E59">
      <w:pPr>
        <w:keepNext/>
        <w:spacing w:before="280" w:after="80"/>
      </w:pPr>
      <w:r>
        <w:t xml:space="preserve">En CSA ministériel, vous aviez reconnu l'utilité d'approfondir en groupe de travail les causes de </w:t>
      </w:r>
      <w:r>
        <w:lastRenderedPageBreak/>
        <w:t xml:space="preserve">cette évolution. </w:t>
      </w:r>
    </w:p>
    <w:p w14:paraId="603815DD" w14:textId="77777777" w:rsidR="001A5E59" w:rsidRDefault="001A5E59" w:rsidP="001A5E59">
      <w:pPr>
        <w:keepNext/>
        <w:spacing w:before="280" w:after="80"/>
      </w:pPr>
      <w:r>
        <w:t>Aussi, l’Alliance du Trèfle renouvelle sa demande de la tenue rapide d'un groupe de travail dédié à la place des contractuels au sein du ministère, à leurs parcours de carrières et rémunérations ainsi que l’ouverture de voies de titularisation pour inverser la tendance et offrir de réelles perspectives à tous les agents du ministère.</w:t>
      </w:r>
    </w:p>
    <w:p w14:paraId="62ABB645" w14:textId="77777777" w:rsidR="001A5E59" w:rsidRDefault="001A5E59" w:rsidP="00C85F0F">
      <w:pPr>
        <w:pStyle w:val="Titre1"/>
      </w:pPr>
      <w:r>
        <w:t>La responsabilité financière : des agents seuls devant le juge</w:t>
      </w:r>
    </w:p>
    <w:p w14:paraId="6E7B4E77" w14:textId="6AC71253" w:rsidR="001A5E59" w:rsidRDefault="00090AB2" w:rsidP="001A5E59">
      <w:r>
        <w:t>En</w:t>
      </w:r>
      <w:r w:rsidR="001A5E59">
        <w:t xml:space="preserve"> janvier 2025, le Conseil d'État a jugé que la protection fonctionnelle ne peut être accordée</w:t>
      </w:r>
      <w:r w:rsidR="00F70485">
        <w:t>,</w:t>
      </w:r>
      <w:r w:rsidR="001A5E59">
        <w:t xml:space="preserve"> </w:t>
      </w:r>
      <w:r w:rsidR="00F70485">
        <w:t xml:space="preserve">devant la chambre du contentieux de la Cour des comptes, aux agents qui engagent la dépense publique </w:t>
      </w:r>
      <w:r w:rsidR="001A5E59">
        <w:t xml:space="preserve">et </w:t>
      </w:r>
      <w:r w:rsidR="001A5E59">
        <w:rPr>
          <w:b/>
        </w:rPr>
        <w:t>l'administration n'a pas le droit de prendre en charge leurs frais d'avocat</w:t>
      </w:r>
      <w:r w:rsidR="001A5E59">
        <w:t>. La conséquence est qu'un agent poursuivi dans ce cadre, pour une décision prise dans l'exercice de ses fonctions, assume seul ses frais de défense.</w:t>
      </w:r>
    </w:p>
    <w:p w14:paraId="2E6FE218" w14:textId="77777777" w:rsidR="00F70485" w:rsidRDefault="00F70485" w:rsidP="001A5E59"/>
    <w:p w14:paraId="0B7E1841" w14:textId="77777777" w:rsidR="001A5E59" w:rsidRDefault="001A5E59" w:rsidP="001A5E59">
      <w:r>
        <w:t>Nous demandons que le ministère porte au niveau interministériel la modification législative qui permettrait cette prise en charge.</w:t>
      </w:r>
    </w:p>
    <w:p w14:paraId="7F75342D" w14:textId="753C2473" w:rsidR="001A5E59" w:rsidRDefault="001A5E59" w:rsidP="001A5E59">
      <w:pPr>
        <w:rPr>
          <w:b/>
        </w:rPr>
      </w:pPr>
      <w:r>
        <w:t xml:space="preserve">Dans l'immédiat, l'instruction technique du 23 mai 2025 organise un appui juridique de la direction des affaires juridiques et l'accès de l'agent aux archives de son service. </w:t>
      </w:r>
      <w:r w:rsidR="00F70485">
        <w:t>Cependant</w:t>
      </w:r>
      <w:r>
        <w:rPr>
          <w:b/>
        </w:rPr>
        <w:t>, aucun agent que nous avons interrogé n'en avait connaissance.</w:t>
      </w:r>
    </w:p>
    <w:p w14:paraId="37D33084" w14:textId="77777777" w:rsidR="00090AB2" w:rsidRDefault="00090AB2" w:rsidP="001A5E59"/>
    <w:p w14:paraId="3499DF78" w14:textId="615FCB58" w:rsidR="00F70485" w:rsidRDefault="001A5E59" w:rsidP="001A5E59">
      <w:r>
        <w:t xml:space="preserve">Nous demandons qu'elle soit portée à la connaissance de chacun, et </w:t>
      </w:r>
      <w:r w:rsidR="00F70485">
        <w:t>la révision de 2</w:t>
      </w:r>
      <w:r>
        <w:t xml:space="preserve"> dispositions</w:t>
      </w:r>
      <w:r w:rsidR="00F70485">
        <w:t xml:space="preserve"> </w:t>
      </w:r>
      <w:r>
        <w:t>: la demande d'appui, aujourd'hui réservée au responsable de la structure, et le refus de soutien pour faute, apprécié avant que le juge n'ait statué.</w:t>
      </w:r>
    </w:p>
    <w:p w14:paraId="4D6F2A05" w14:textId="77777777" w:rsidR="00F70485" w:rsidRDefault="00F70485" w:rsidP="001A5E59"/>
    <w:p w14:paraId="35AA1ECD" w14:textId="77777777" w:rsidR="001A5E59" w:rsidRDefault="001A5E59" w:rsidP="00C85F0F">
      <w:pPr>
        <w:pStyle w:val="Titre1"/>
      </w:pPr>
      <w:r>
        <w:t>Réforme de la formation des TSMA</w:t>
      </w:r>
    </w:p>
    <w:p w14:paraId="5A6C71DE" w14:textId="737978CD" w:rsidR="001A5E59" w:rsidRDefault="00090AB2" w:rsidP="001A5E59">
      <w:r>
        <w:t>Le</w:t>
      </w:r>
      <w:r w:rsidR="001A5E59">
        <w:t xml:space="preserve"> chantier sur les évolutions des modalités du recrutement et de la formation des techniciens supérieurs a été engagé</w:t>
      </w:r>
      <w:r>
        <w:t xml:space="preserve"> </w:t>
      </w:r>
      <w:r w:rsidR="00BB137F">
        <w:t>depuis bientôt</w:t>
      </w:r>
      <w:r>
        <w:t xml:space="preserve"> un an</w:t>
      </w:r>
      <w:r w:rsidR="001A5E59">
        <w:t xml:space="preserve">. Après trois groupes de travail et un séminaire de qualité, qui ont mobilisé de nombreuses personnes, tant du côté des organisations syndicales que de l'administration (SG, IGAPS, représentants des groupements...), nous souhaitons que la prochaine séquence, prévue mi-décembre, débouche </w:t>
      </w:r>
      <w:proofErr w:type="spellStart"/>
      <w:r>
        <w:t>réllement</w:t>
      </w:r>
      <w:proofErr w:type="spellEnd"/>
      <w:r>
        <w:t xml:space="preserve"> </w:t>
      </w:r>
      <w:r w:rsidR="001A5E59">
        <w:t xml:space="preserve">sur des propositions concrètes. </w:t>
      </w:r>
    </w:p>
    <w:p w14:paraId="31ACE7A6" w14:textId="77777777" w:rsidR="00090AB2" w:rsidRDefault="00090AB2" w:rsidP="001A5E59"/>
    <w:p w14:paraId="0D5931DC" w14:textId="77777777" w:rsidR="001A5E59" w:rsidRDefault="001A5E59" w:rsidP="001A5E59">
      <w:r>
        <w:t>Elles devront relancer l'attractivité des métiers de TSMA et répondre aux aspirations des agents et futurs agents.</w:t>
      </w:r>
    </w:p>
    <w:p w14:paraId="31DA8117" w14:textId="77777777" w:rsidR="001A5E59" w:rsidRDefault="001A5E59" w:rsidP="00C85F0F">
      <w:pPr>
        <w:pStyle w:val="Titre1"/>
      </w:pPr>
      <w:r>
        <w:t>Aides d'urgence agricoles</w:t>
      </w:r>
    </w:p>
    <w:p w14:paraId="1FD526B7" w14:textId="77777777" w:rsidR="00090AB2" w:rsidRDefault="001A5E59" w:rsidP="001A5E59">
      <w:r>
        <w:t xml:space="preserve">Pour répondre à la crise agricole (sécheresse historique, augmentation du coût des intrants...), des dispositifs d’aide ont été déployés. </w:t>
      </w:r>
    </w:p>
    <w:p w14:paraId="269723BA" w14:textId="4F3B0A0E" w:rsidR="001A5E59" w:rsidRDefault="001A5E59" w:rsidP="001A5E59">
      <w:r>
        <w:t xml:space="preserve">Une fois de plus, les </w:t>
      </w:r>
      <w:r w:rsidRPr="00466A0A">
        <w:rPr>
          <w:b/>
          <w:bCs/>
        </w:rPr>
        <w:t>services d'économie agricole des DDT</w:t>
      </w:r>
      <w:r>
        <w:t xml:space="preserve">, ainsi que les </w:t>
      </w:r>
      <w:r w:rsidRPr="00466A0A">
        <w:rPr>
          <w:b/>
          <w:bCs/>
        </w:rPr>
        <w:t xml:space="preserve">services d'aides de </w:t>
      </w:r>
      <w:r w:rsidRPr="00466A0A">
        <w:rPr>
          <w:b/>
          <w:bCs/>
        </w:rPr>
        <w:lastRenderedPageBreak/>
        <w:t>crise de FranceAgriMer</w:t>
      </w:r>
      <w:r>
        <w:t xml:space="preserve">, se trouvent mobilisés pour instruire, vite et bien, sous la pression des préfets et des syndicats agricoles, les différentes aides. </w:t>
      </w:r>
    </w:p>
    <w:p w14:paraId="26FD912E" w14:textId="77777777" w:rsidR="00090AB2" w:rsidRDefault="00090AB2" w:rsidP="001A5E59"/>
    <w:p w14:paraId="0F425E48" w14:textId="77777777" w:rsidR="001A5E59" w:rsidRDefault="001A5E59" w:rsidP="001A5E59">
      <w:r>
        <w:t>Nous demandons que les missions confiées soient en adéquation avec les moyens des services concernés, ou plutôt l’inverse, dans l’idéal.</w:t>
      </w:r>
    </w:p>
    <w:p w14:paraId="00279D1E" w14:textId="77777777" w:rsidR="001A5E59" w:rsidRDefault="001A5E59" w:rsidP="00C85F0F">
      <w:pPr>
        <w:pStyle w:val="Titre1"/>
      </w:pPr>
      <w:r>
        <w:t>Brexit</w:t>
      </w:r>
    </w:p>
    <w:p w14:paraId="6893511C" w14:textId="77777777" w:rsidR="00C85F0F" w:rsidRPr="00466A0A" w:rsidRDefault="00C85F0F" w:rsidP="001A5E59">
      <w:pPr>
        <w:rPr>
          <w:bCs/>
        </w:rPr>
      </w:pPr>
    </w:p>
    <w:p w14:paraId="2C5AE258" w14:textId="5E41F78F" w:rsidR="00F16E00" w:rsidRDefault="00F16E00" w:rsidP="001A5E59">
      <w:pPr>
        <w:rPr>
          <w:bCs/>
        </w:rPr>
      </w:pPr>
      <w:r w:rsidRPr="00F16E00">
        <w:rPr>
          <w:bCs/>
        </w:rPr>
        <w:t>Nous réaffirmons la nécessité de proposer aux agents</w:t>
      </w:r>
      <w:r w:rsidR="00BB137F">
        <w:rPr>
          <w:bCs/>
        </w:rPr>
        <w:t xml:space="preserve"> </w:t>
      </w:r>
      <w:r w:rsidRPr="00F16E00">
        <w:rPr>
          <w:bCs/>
        </w:rPr>
        <w:t>des formations</w:t>
      </w:r>
      <w:r w:rsidR="00BB137F">
        <w:rPr>
          <w:bCs/>
        </w:rPr>
        <w:t xml:space="preserve"> anticipées</w:t>
      </w:r>
      <w:r w:rsidRPr="00F16E00">
        <w:rPr>
          <w:bCs/>
        </w:rPr>
        <w:t xml:space="preserve"> leur permettant </w:t>
      </w:r>
      <w:r>
        <w:rPr>
          <w:bCs/>
        </w:rPr>
        <w:t>de se préparer</w:t>
      </w:r>
      <w:r w:rsidRPr="00F16E00">
        <w:rPr>
          <w:bCs/>
        </w:rPr>
        <w:t xml:space="preserve"> au mieux </w:t>
      </w:r>
      <w:r>
        <w:rPr>
          <w:bCs/>
        </w:rPr>
        <w:t xml:space="preserve">aux </w:t>
      </w:r>
      <w:r w:rsidR="00BB137F">
        <w:rPr>
          <w:bCs/>
        </w:rPr>
        <w:t>opportunités</w:t>
      </w:r>
      <w:r w:rsidRPr="00F16E00">
        <w:rPr>
          <w:bCs/>
        </w:rPr>
        <w:t xml:space="preserve"> de reclassement, notamment celles </w:t>
      </w:r>
      <w:r w:rsidR="00BB137F">
        <w:rPr>
          <w:bCs/>
        </w:rPr>
        <w:t>d</w:t>
      </w:r>
      <w:r w:rsidRPr="00F16E00">
        <w:rPr>
          <w:bCs/>
        </w:rPr>
        <w:t>es communautés urbaines.</w:t>
      </w:r>
    </w:p>
    <w:p w14:paraId="576C7911" w14:textId="77777777" w:rsidR="00F16E00" w:rsidRPr="00466A0A" w:rsidRDefault="00F16E00" w:rsidP="001A5E59">
      <w:pPr>
        <w:rPr>
          <w:bCs/>
        </w:rPr>
      </w:pPr>
    </w:p>
    <w:p w14:paraId="4ED45E4F" w14:textId="13B2FFAB" w:rsidR="00DE0E90" w:rsidRPr="00466A0A" w:rsidRDefault="00C85F0F" w:rsidP="001A5E59">
      <w:pPr>
        <w:rPr>
          <w:bCs/>
        </w:rPr>
      </w:pPr>
      <w:r w:rsidRPr="00466A0A">
        <w:rPr>
          <w:bCs/>
        </w:rPr>
        <w:t xml:space="preserve">Les agents doivent </w:t>
      </w:r>
      <w:r w:rsidR="00F16E00" w:rsidRPr="00F16E00">
        <w:rPr>
          <w:bCs/>
        </w:rPr>
        <w:t>dispose</w:t>
      </w:r>
      <w:r w:rsidR="00F16E00">
        <w:rPr>
          <w:bCs/>
        </w:rPr>
        <w:t xml:space="preserve">r </w:t>
      </w:r>
      <w:r w:rsidR="00F16E00" w:rsidRPr="00F16E00">
        <w:rPr>
          <w:bCs/>
        </w:rPr>
        <w:t xml:space="preserve">d'une visibilité suffisante sur les </w:t>
      </w:r>
      <w:r w:rsidR="00BB137F">
        <w:rPr>
          <w:bCs/>
        </w:rPr>
        <w:t>perspectives à venir</w:t>
      </w:r>
      <w:r w:rsidR="00F16E00">
        <w:rPr>
          <w:bCs/>
        </w:rPr>
        <w:t xml:space="preserve">, </w:t>
      </w:r>
      <w:r w:rsidRPr="00466A0A">
        <w:rPr>
          <w:bCs/>
        </w:rPr>
        <w:t xml:space="preserve">afin qu’ils puissent, en concertation avec leur famille et entourage, </w:t>
      </w:r>
      <w:r w:rsidR="00DE0E90">
        <w:rPr>
          <w:bCs/>
        </w:rPr>
        <w:t>é</w:t>
      </w:r>
      <w:r w:rsidR="00DE0E90" w:rsidRPr="00DE0E90">
        <w:rPr>
          <w:bCs/>
        </w:rPr>
        <w:t>valuer les différentes options et prendre</w:t>
      </w:r>
      <w:r w:rsidR="00DE0E90">
        <w:rPr>
          <w:bCs/>
        </w:rPr>
        <w:t xml:space="preserve"> </w:t>
      </w:r>
      <w:r w:rsidR="00DE0E90" w:rsidRPr="00DE0E90">
        <w:rPr>
          <w:bCs/>
        </w:rPr>
        <w:t>les décisions les plus adaptées à leur situation.</w:t>
      </w:r>
    </w:p>
    <w:p w14:paraId="3468EC6B" w14:textId="51AAC247" w:rsidR="00DE0E90" w:rsidRPr="00466A0A" w:rsidRDefault="00DE0E90" w:rsidP="00DE0E90">
      <w:pPr>
        <w:pStyle w:val="NormalWeb"/>
        <w:spacing w:line="300" w:lineRule="atLeast"/>
        <w:rPr>
          <w:rFonts w:ascii="Comic Sans MS" w:eastAsia="Arial Unicode MS" w:hAnsi="Comic Sans MS" w:cs="Tahoma"/>
          <w:bCs/>
          <w:kern w:val="3"/>
        </w:rPr>
      </w:pPr>
      <w:r w:rsidRPr="00466A0A">
        <w:rPr>
          <w:rFonts w:ascii="Comic Sans MS" w:eastAsia="Arial Unicode MS" w:hAnsi="Comic Sans MS" w:cs="Tahoma"/>
          <w:bCs/>
          <w:kern w:val="3"/>
        </w:rPr>
        <w:t xml:space="preserve">Nous appelons par ailleurs à une vigilance particulière quant </w:t>
      </w:r>
      <w:r w:rsidR="00BB137F">
        <w:rPr>
          <w:rFonts w:ascii="Comic Sans MS" w:eastAsia="Arial Unicode MS" w:hAnsi="Comic Sans MS" w:cs="Tahoma"/>
          <w:bCs/>
          <w:kern w:val="3"/>
        </w:rPr>
        <w:t>aux</w:t>
      </w:r>
      <w:r w:rsidRPr="00466A0A">
        <w:rPr>
          <w:rFonts w:ascii="Comic Sans MS" w:eastAsia="Arial Unicode MS" w:hAnsi="Comic Sans MS" w:cs="Tahoma"/>
          <w:bCs/>
          <w:kern w:val="3"/>
        </w:rPr>
        <w:t xml:space="preserve"> </w:t>
      </w:r>
      <w:r w:rsidR="00BB137F" w:rsidRPr="00BB137F">
        <w:rPr>
          <w:rFonts w:ascii="Comic Sans MS" w:eastAsia="Arial Unicode MS" w:hAnsi="Comic Sans MS" w:cs="Tahoma"/>
          <w:bCs/>
          <w:kern w:val="3"/>
        </w:rPr>
        <w:t>charge</w:t>
      </w:r>
      <w:r w:rsidR="00BB137F">
        <w:rPr>
          <w:rFonts w:ascii="Comic Sans MS" w:eastAsia="Arial Unicode MS" w:hAnsi="Comic Sans MS" w:cs="Tahoma"/>
          <w:bCs/>
          <w:kern w:val="3"/>
        </w:rPr>
        <w:t>s</w:t>
      </w:r>
      <w:r w:rsidRPr="00466A0A">
        <w:rPr>
          <w:rFonts w:ascii="Comic Sans MS" w:eastAsia="Arial Unicode MS" w:hAnsi="Comic Sans MS" w:cs="Tahoma"/>
          <w:bCs/>
          <w:kern w:val="3"/>
        </w:rPr>
        <w:t xml:space="preserve"> de travail, qui doit rester soutenable</w:t>
      </w:r>
      <w:r w:rsidR="00BB137F">
        <w:rPr>
          <w:rFonts w:ascii="Comic Sans MS" w:eastAsia="Arial Unicode MS" w:hAnsi="Comic Sans MS" w:cs="Tahoma"/>
          <w:bCs/>
          <w:kern w:val="3"/>
        </w:rPr>
        <w:t>s</w:t>
      </w:r>
      <w:r w:rsidRPr="00466A0A">
        <w:rPr>
          <w:rFonts w:ascii="Comic Sans MS" w:eastAsia="Arial Unicode MS" w:hAnsi="Comic Sans MS" w:cs="Tahoma"/>
          <w:bCs/>
          <w:kern w:val="3"/>
        </w:rPr>
        <w:t xml:space="preserve"> tout au long du processus, notamment pour les personnels d'encadrement.</w:t>
      </w:r>
    </w:p>
    <w:p w14:paraId="67DE8BD2" w14:textId="6A518B02" w:rsidR="00466A0A" w:rsidRDefault="00C85F0F" w:rsidP="001A5E59">
      <w:pPr>
        <w:rPr>
          <w:bCs/>
        </w:rPr>
      </w:pPr>
      <w:r w:rsidRPr="00466A0A">
        <w:rPr>
          <w:bCs/>
        </w:rPr>
        <w:t xml:space="preserve">Une attention individuelle doit être portée à tous </w:t>
      </w:r>
      <w:r w:rsidR="00090AB2" w:rsidRPr="00466A0A">
        <w:rPr>
          <w:bCs/>
        </w:rPr>
        <w:t>les agents</w:t>
      </w:r>
      <w:r w:rsidRPr="00466A0A">
        <w:rPr>
          <w:bCs/>
        </w:rPr>
        <w:t xml:space="preserve"> par l’encadrement de proximité et les IGAPS.</w:t>
      </w:r>
    </w:p>
    <w:p w14:paraId="09F1CB78" w14:textId="77777777" w:rsidR="00466A0A" w:rsidRDefault="00466A0A" w:rsidP="00466A0A">
      <w:pPr>
        <w:pStyle w:val="Titre1"/>
      </w:pPr>
      <w:r>
        <w:t>Moyens consacrés aux politiques sanitaires</w:t>
      </w:r>
    </w:p>
    <w:p w14:paraId="26BC9507" w14:textId="649C4808" w:rsidR="00C85F0F" w:rsidRPr="007E10E9" w:rsidRDefault="00466A0A" w:rsidP="007E10E9">
      <w:pPr>
        <w:pStyle w:val="Standard"/>
        <w:ind w:firstLine="0"/>
        <w:jc w:val="both"/>
        <w:rPr>
          <w:rFonts w:ascii="Comic Sans MS" w:hAnsi="Comic Sans MS"/>
        </w:rPr>
      </w:pPr>
      <w:r w:rsidRPr="000753F9">
        <w:rPr>
          <w:rFonts w:ascii="Comic Sans MS" w:hAnsi="Comic Sans MS"/>
          <w:lang w:bidi="ar-SA"/>
        </w:rPr>
        <w:t>La gestion des suites des contrôles délégués, le transfert des missions de la DGCCRF avec des renforts loin des prévisions, le paiement des actions liées aux crises sanitaires (DNCB actuellement), les logiciels défaillants etc. épuisent les équipes</w:t>
      </w:r>
      <w:r w:rsidR="007A6817">
        <w:rPr>
          <w:rFonts w:ascii="Comic Sans MS" w:hAnsi="Comic Sans MS"/>
          <w:lang w:bidi="ar-SA"/>
        </w:rPr>
        <w:t xml:space="preserve"> tant en Administration Centrale qu’en Services Déconcentrés</w:t>
      </w:r>
      <w:r w:rsidRPr="000753F9">
        <w:rPr>
          <w:rFonts w:ascii="Comic Sans MS" w:hAnsi="Comic Sans MS"/>
          <w:lang w:bidi="ar-SA"/>
        </w:rPr>
        <w:t>. Il est plus qu’urgent d’agir.</w:t>
      </w:r>
    </w:p>
    <w:p w14:paraId="7EB2A494" w14:textId="77777777" w:rsidR="001A5E59" w:rsidRDefault="001A5E59" w:rsidP="00C85F0F">
      <w:pPr>
        <w:pStyle w:val="Titre1"/>
      </w:pPr>
      <w:r>
        <w:t>ASMA</w:t>
      </w:r>
    </w:p>
    <w:p w14:paraId="515A54CD" w14:textId="77777777" w:rsidR="00DE0E90" w:rsidRDefault="001A5E59" w:rsidP="001A5E59">
      <w:r>
        <w:t xml:space="preserve">L'Alliance du Trèfle appelle une nouvelle fois l'attention de l'administration sur la situation de l'ASMA. Lors du groupe de travail du 25 octobre, l'ASMA a fait part de difficultés liées au budget alloué, et ce malgré les réelles économies réalisées sur les frais de fonctionnement. </w:t>
      </w:r>
    </w:p>
    <w:p w14:paraId="2C245CC6" w14:textId="77777777" w:rsidR="00DE0E90" w:rsidRDefault="00DE0E90" w:rsidP="001A5E59"/>
    <w:p w14:paraId="14230676" w14:textId="19513AC8" w:rsidR="00C85F0F" w:rsidRDefault="001A5E59" w:rsidP="001A5E59">
      <w:r w:rsidRPr="00466A0A">
        <w:rPr>
          <w:b/>
          <w:bCs/>
        </w:rPr>
        <w:t>Deux fois plus de demandes ont dû être refusées</w:t>
      </w:r>
      <w:r>
        <w:t>, notamment dans les secteurs séjours et jeunesse. L'ASMA a besoin d'une revalorisation conséquente de sa subvention et d'une perspective budgétaire pluriannuelle.</w:t>
      </w:r>
      <w:r w:rsidR="007E10E9">
        <w:t xml:space="preserve"> </w:t>
      </w:r>
    </w:p>
    <w:p w14:paraId="049D16D1" w14:textId="5DEE258A" w:rsidR="001A5E59" w:rsidRDefault="001A5E59" w:rsidP="001A5E59">
      <w:r>
        <w:t xml:space="preserve">Enfin, nous remercions l'administration pour sa réactivité à la suite d'un signalement d'une très grande urgence concernant une agente placée dans une situation de grande précarité financière </w:t>
      </w:r>
      <w:r>
        <w:lastRenderedPageBreak/>
        <w:t xml:space="preserve">à la suite de l'intégration des parts fonctionnelles dans </w:t>
      </w:r>
      <w:proofErr w:type="spellStart"/>
      <w:r>
        <w:t>RenoiRH</w:t>
      </w:r>
      <w:proofErr w:type="spellEnd"/>
      <w:r>
        <w:t xml:space="preserve"> en mars 2026.</w:t>
      </w:r>
    </w:p>
    <w:p w14:paraId="4A7B0A04" w14:textId="70A12E44" w:rsidR="00E75594" w:rsidRDefault="007E10E9" w:rsidP="007E10E9">
      <w:pPr>
        <w:pStyle w:val="Textbody"/>
        <w:ind w:firstLine="0"/>
        <w:rPr>
          <w:rFonts w:ascii="Marianne" w:hAnsi="Marianne"/>
        </w:rPr>
      </w:pPr>
      <w:r>
        <w:t>N</w:t>
      </w:r>
      <w:r w:rsidR="00044C8E" w:rsidRPr="001C0047">
        <w:t>ous vous remercions pour votre attention.</w:t>
      </w:r>
      <w:r w:rsidR="00044C8E">
        <w:rPr>
          <w:rFonts w:ascii="Marianne" w:hAnsi="Marianne"/>
          <w:noProof/>
        </w:rPr>
        <w:drawing>
          <wp:anchor distT="0" distB="0" distL="114300" distR="114300" simplePos="0" relativeHeight="5" behindDoc="0" locked="0" layoutInCell="1" allowOverlap="1" wp14:anchorId="6D3C1477" wp14:editId="34EA1157">
            <wp:simplePos x="0" y="0"/>
            <wp:positionH relativeFrom="column">
              <wp:posOffset>3319920</wp:posOffset>
            </wp:positionH>
            <wp:positionV relativeFrom="paragraph">
              <wp:posOffset>141120</wp:posOffset>
            </wp:positionV>
            <wp:extent cx="461520" cy="250200"/>
            <wp:effectExtent l="0" t="0" r="0" b="0"/>
            <wp:wrapTopAndBottom/>
            <wp:docPr id="3" name="Image1 Copi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461520" cy="250200"/>
                    </a:xfrm>
                    <a:prstGeom prst="rect">
                      <a:avLst/>
                    </a:prstGeom>
                    <a:noFill/>
                    <a:ln>
                      <a:noFill/>
                      <a:prstDash/>
                    </a:ln>
                  </pic:spPr>
                </pic:pic>
              </a:graphicData>
            </a:graphic>
          </wp:anchor>
        </w:drawing>
      </w:r>
    </w:p>
    <w:sectPr w:rsidR="00E75594">
      <w:headerReference w:type="default" r:id="rId9"/>
      <w:footerReference w:type="default" r:id="rId10"/>
      <w:headerReference w:type="first" r:id="rId11"/>
      <w:pgSz w:w="11906" w:h="16838"/>
      <w:pgMar w:top="929" w:right="567" w:bottom="720" w:left="567" w:header="363"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E4CF6" w14:textId="77777777" w:rsidR="005D2737" w:rsidRDefault="005D2737">
      <w:r>
        <w:separator/>
      </w:r>
    </w:p>
  </w:endnote>
  <w:endnote w:type="continuationSeparator" w:id="0">
    <w:p w14:paraId="0CA440F3" w14:textId="77777777" w:rsidR="005D2737" w:rsidRDefault="005D2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 Mono">
    <w:panose1 w:val="02070409020205020404"/>
    <w:charset w:val="00"/>
    <w:family w:val="modern"/>
    <w:pitch w:val="fixed"/>
    <w:sig w:usb0="E0000AFF" w:usb1="400078FF" w:usb2="00000001" w:usb3="00000000" w:csb0="000001BF" w:csb1="00000000"/>
  </w:font>
  <w:font w:name="Lobster">
    <w:charset w:val="00"/>
    <w:family w:val="auto"/>
    <w:pitch w:val="variable"/>
    <w:sig w:usb0="20000207" w:usb1="00000001" w:usb2="00000000" w:usb3="00000000" w:csb0="00000197" w:csb1="00000000"/>
  </w:font>
  <w:font w:name="Liberation Serif">
    <w:panose1 w:val="02020603050405020304"/>
    <w:charset w:val="00"/>
    <w:family w:val="roman"/>
    <w:pitch w:val="variable"/>
    <w:sig w:usb0="E0000AFF" w:usb1="500078FF" w:usb2="00000021" w:usb3="00000000" w:csb0="000001BF" w:csb1="00000000"/>
  </w:font>
  <w:font w:name="Arial Black">
    <w:panose1 w:val="020B0A04020102020204"/>
    <w:charset w:val="00"/>
    <w:family w:val="swiss"/>
    <w:pitch w:val="variable"/>
    <w:sig w:usb0="A00002AF" w:usb1="400078FB" w:usb2="00000000" w:usb3="00000000" w:csb0="0000009F" w:csb1="00000000"/>
  </w:font>
  <w:font w:name=".SFUIText">
    <w:charset w:val="00"/>
    <w:family w:val="roman"/>
    <w:pitch w:val="variable"/>
  </w:font>
  <w:font w:name="Open Sans Condensed Light">
    <w:charset w:val="00"/>
    <w:family w:val="auto"/>
    <w:pitch w:val="variable"/>
    <w:sig w:usb0="E00002FF" w:usb1="4000201B" w:usb2="00000028" w:usb3="00000000" w:csb0="0000019F" w:csb1="00000000"/>
  </w:font>
  <w:font w:name="Marianne Light">
    <w:panose1 w:val="02000000000000000000"/>
    <w:charset w:val="00"/>
    <w:family w:val="auto"/>
    <w:pitch w:val="variable"/>
    <w:sig w:usb0="0000000F" w:usb1="00000000" w:usb2="00000000" w:usb3="00000000" w:csb0="00000003" w:csb1="00000000"/>
  </w:font>
  <w:font w:name="0">
    <w:charset w:val="00"/>
    <w:family w:val="swiss"/>
    <w:pitch w:val="variable"/>
  </w:font>
  <w:font w:name="Segoe UI">
    <w:panose1 w:val="020B0502040204020203"/>
    <w:charset w:val="00"/>
    <w:family w:val="swiss"/>
    <w:pitch w:val="variable"/>
    <w:sig w:usb0="E4002EFF" w:usb1="C000E47F" w:usb2="00000009" w:usb3="00000000" w:csb0="000001FF" w:csb1="00000000"/>
  </w:font>
  <w:font w:name="Marianne">
    <w:panose1 w:val="02000000000000000000"/>
    <w:charset w:val="00"/>
    <w:family w:val="auto"/>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AC728" w14:textId="77777777" w:rsidR="00F95939" w:rsidRDefault="00044C8E">
    <w:pPr>
      <w:pStyle w:val="Pieddepage"/>
      <w:jc w:val="center"/>
    </w:pPr>
    <w:r>
      <w:t>Alliance du TRÈFLE Unis pour votre avenir CFTC-MAE – EFA-CGC – SNISPV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24E83" w14:textId="77777777" w:rsidR="005D2737" w:rsidRDefault="005D2737">
      <w:r>
        <w:rPr>
          <w:color w:val="000000"/>
        </w:rPr>
        <w:separator/>
      </w:r>
    </w:p>
  </w:footnote>
  <w:footnote w:type="continuationSeparator" w:id="0">
    <w:p w14:paraId="41AA5CC6" w14:textId="77777777" w:rsidR="005D2737" w:rsidRDefault="005D27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47" w:type="dxa"/>
      <w:tblInd w:w="1822" w:type="dxa"/>
      <w:tblLayout w:type="fixed"/>
      <w:tblCellMar>
        <w:left w:w="10" w:type="dxa"/>
        <w:right w:w="10" w:type="dxa"/>
      </w:tblCellMar>
      <w:tblLook w:val="04A0" w:firstRow="1" w:lastRow="0" w:firstColumn="1" w:lastColumn="0" w:noHBand="0" w:noVBand="1"/>
    </w:tblPr>
    <w:tblGrid>
      <w:gridCol w:w="8367"/>
      <w:gridCol w:w="580"/>
    </w:tblGrid>
    <w:tr w:rsidR="00B46B8B" w14:paraId="4684D822" w14:textId="77777777">
      <w:trPr>
        <w:trHeight w:val="208"/>
      </w:trPr>
      <w:tc>
        <w:tcPr>
          <w:tcW w:w="8367" w:type="dxa"/>
          <w:tcBorders>
            <w:bottom w:val="single" w:sz="2" w:space="0" w:color="999999"/>
          </w:tcBorders>
          <w:tcMar>
            <w:top w:w="0" w:type="dxa"/>
            <w:left w:w="0" w:type="dxa"/>
            <w:bottom w:w="0" w:type="dxa"/>
            <w:right w:w="0" w:type="dxa"/>
          </w:tcMar>
        </w:tcPr>
        <w:p w14:paraId="5D2E4A54" w14:textId="791D9010" w:rsidR="00F95939" w:rsidRDefault="007E10E9">
          <w:pPr>
            <w:pStyle w:val="Textbody"/>
            <w:jc w:val="right"/>
          </w:pPr>
          <w:fldSimple w:instr=" SUBJECT ">
            <w:r>
              <w:t>CSA Ministériel</w:t>
            </w:r>
          </w:fldSimple>
        </w:p>
      </w:tc>
      <w:tc>
        <w:tcPr>
          <w:tcW w:w="580" w:type="dxa"/>
          <w:vMerge w:val="restart"/>
          <w:tcBorders>
            <w:top w:val="single" w:sz="2" w:space="0" w:color="000000"/>
            <w:left w:val="single" w:sz="2" w:space="0" w:color="000000"/>
            <w:bottom w:val="single" w:sz="2" w:space="0" w:color="000000"/>
            <w:right w:val="single" w:sz="2" w:space="0" w:color="000000"/>
          </w:tcBorders>
          <w:shd w:val="clear" w:color="auto" w:fill="CCCCCC"/>
          <w:tcMar>
            <w:top w:w="0" w:type="dxa"/>
            <w:left w:w="0" w:type="dxa"/>
            <w:bottom w:w="0" w:type="dxa"/>
            <w:right w:w="0" w:type="dxa"/>
          </w:tcMar>
          <w:vAlign w:val="center"/>
        </w:tcPr>
        <w:p w14:paraId="53E6562D" w14:textId="77777777" w:rsidR="00F95939" w:rsidRDefault="00044C8E">
          <w:pPr>
            <w:pStyle w:val="Textbody"/>
            <w:jc w:val="center"/>
          </w:pPr>
          <w:r>
            <w:rPr>
              <w:rStyle w:val="01-TexteEnValeurBlanc"/>
            </w:rPr>
            <w:fldChar w:fldCharType="begin"/>
          </w:r>
          <w:r>
            <w:rPr>
              <w:rStyle w:val="01-TexteEnValeurBlanc"/>
            </w:rPr>
            <w:instrText xml:space="preserve"> PAGE </w:instrText>
          </w:r>
          <w:r>
            <w:rPr>
              <w:rStyle w:val="01-TexteEnValeurBlanc"/>
            </w:rPr>
            <w:fldChar w:fldCharType="separate"/>
          </w:r>
          <w:r>
            <w:rPr>
              <w:rStyle w:val="01-TexteEnValeurBlanc"/>
            </w:rPr>
            <w:t>3</w:t>
          </w:r>
          <w:r>
            <w:rPr>
              <w:rStyle w:val="01-TexteEnValeurBlanc"/>
            </w:rPr>
            <w:fldChar w:fldCharType="end"/>
          </w:r>
          <w:r>
            <w:rPr>
              <w:rStyle w:val="01-TexteEnValeurBlanc"/>
            </w:rPr>
            <w:t xml:space="preserve"> </w:t>
          </w:r>
          <w:r>
            <w:rPr>
              <w:rStyle w:val="01-TexteEnValeurBlanc"/>
            </w:rPr>
            <w:fldChar w:fldCharType="begin"/>
          </w:r>
          <w:r>
            <w:rPr>
              <w:rStyle w:val="01-TexteEnValeurBlanc"/>
            </w:rPr>
            <w:instrText xml:space="preserve"> PAGE </w:instrText>
          </w:r>
          <w:r>
            <w:rPr>
              <w:rStyle w:val="01-TexteEnValeurBlanc"/>
            </w:rPr>
            <w:fldChar w:fldCharType="separate"/>
          </w:r>
          <w:r>
            <w:rPr>
              <w:rStyle w:val="01-TexteEnValeurBlanc"/>
            </w:rPr>
            <w:t>3</w:t>
          </w:r>
          <w:r>
            <w:rPr>
              <w:rStyle w:val="01-TexteEnValeurBlanc"/>
            </w:rPr>
            <w:fldChar w:fldCharType="end"/>
          </w:r>
          <w:r>
            <w:rPr>
              <w:rStyle w:val="01-TexteEnValeurBlanc"/>
            </w:rPr>
            <w:t>/</w:t>
          </w:r>
          <w:r>
            <w:rPr>
              <w:rStyle w:val="01-TexteEnValeurBlanc"/>
            </w:rPr>
            <w:fldChar w:fldCharType="begin"/>
          </w:r>
          <w:r>
            <w:rPr>
              <w:rStyle w:val="01-TexteEnValeurBlanc"/>
            </w:rPr>
            <w:instrText xml:space="preserve"> NUMPAGES </w:instrText>
          </w:r>
          <w:r>
            <w:rPr>
              <w:rStyle w:val="01-TexteEnValeurBlanc"/>
            </w:rPr>
            <w:fldChar w:fldCharType="separate"/>
          </w:r>
          <w:r>
            <w:rPr>
              <w:rStyle w:val="01-TexteEnValeurBlanc"/>
            </w:rPr>
            <w:t>5</w:t>
          </w:r>
          <w:r>
            <w:rPr>
              <w:rStyle w:val="01-TexteEnValeurBlanc"/>
            </w:rPr>
            <w:fldChar w:fldCharType="end"/>
          </w:r>
        </w:p>
      </w:tc>
    </w:tr>
    <w:tr w:rsidR="00B46B8B" w14:paraId="1D6B0FE3" w14:textId="77777777">
      <w:tc>
        <w:tcPr>
          <w:tcW w:w="8367" w:type="dxa"/>
          <w:tcMar>
            <w:top w:w="0" w:type="dxa"/>
            <w:left w:w="0" w:type="dxa"/>
            <w:bottom w:w="0" w:type="dxa"/>
            <w:right w:w="0" w:type="dxa"/>
          </w:tcMar>
        </w:tcPr>
        <w:p w14:paraId="71647DBF" w14:textId="77777777" w:rsidR="00F95939" w:rsidRDefault="00044C8E">
          <w:pPr>
            <w:pStyle w:val="Textbody"/>
            <w:ind w:firstLine="0"/>
            <w:jc w:val="right"/>
          </w:pPr>
          <w:r>
            <w:rPr>
              <w:rStyle w:val="01-TexteEnValeurBlanc"/>
              <w:color w:val="000000"/>
            </w:rPr>
            <w:t>Sécurité des Agents -</w:t>
          </w:r>
        </w:p>
      </w:tc>
      <w:tc>
        <w:tcPr>
          <w:tcW w:w="580" w:type="dxa"/>
          <w:vMerge/>
          <w:tcBorders>
            <w:top w:val="single" w:sz="2" w:space="0" w:color="000000"/>
            <w:left w:val="single" w:sz="2" w:space="0" w:color="000000"/>
            <w:bottom w:val="single" w:sz="2" w:space="0" w:color="000000"/>
            <w:right w:val="single" w:sz="2" w:space="0" w:color="000000"/>
          </w:tcBorders>
          <w:shd w:val="clear" w:color="auto" w:fill="CCCCCC"/>
          <w:tcMar>
            <w:top w:w="0" w:type="dxa"/>
            <w:left w:w="0" w:type="dxa"/>
            <w:bottom w:w="0" w:type="dxa"/>
            <w:right w:w="0" w:type="dxa"/>
          </w:tcMar>
          <w:vAlign w:val="center"/>
        </w:tcPr>
        <w:p w14:paraId="3738E9B8" w14:textId="77777777" w:rsidR="005C1650" w:rsidRDefault="005C1650">
          <w:pPr>
            <w:suppressAutoHyphens w:val="0"/>
          </w:pPr>
        </w:p>
      </w:tc>
    </w:tr>
  </w:tbl>
  <w:p w14:paraId="2F4D3B5A" w14:textId="77777777" w:rsidR="00F95939" w:rsidRDefault="00044C8E">
    <w:pPr>
      <w:pStyle w:val="Standard"/>
      <w:ind w:firstLine="0"/>
    </w:pPr>
    <w:r>
      <w:rPr>
        <w:noProof/>
      </w:rPr>
      <w:drawing>
        <wp:anchor distT="0" distB="0" distL="114300" distR="114300" simplePos="0" relativeHeight="251659264" behindDoc="0" locked="0" layoutInCell="1" allowOverlap="1" wp14:anchorId="64F851AE" wp14:editId="256271BB">
          <wp:simplePos x="0" y="0"/>
          <wp:positionH relativeFrom="column">
            <wp:posOffset>15840</wp:posOffset>
          </wp:positionH>
          <wp:positionV relativeFrom="paragraph">
            <wp:posOffset>-607680</wp:posOffset>
          </wp:positionV>
          <wp:extent cx="570960" cy="622440"/>
          <wp:effectExtent l="0" t="0" r="540" b="6210"/>
          <wp:wrapTopAndBottom/>
          <wp:docPr id="1" name="Image2 Copi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570960" cy="622440"/>
                  </a:xfrm>
                  <a:prstGeom prst="rect">
                    <a:avLst/>
                  </a:prstGeom>
                  <a:noFill/>
                  <a:ln>
                    <a:noFill/>
                    <a:prstDash/>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9243" w14:textId="77777777" w:rsidR="00F95939" w:rsidRDefault="00044C8E">
    <w:pPr>
      <w:pStyle w:val="En-tte"/>
      <w:spacing w:before="0" w:after="0"/>
      <w:ind w:left="1701" w:firstLine="0"/>
      <w:jc w:val="center"/>
    </w:pPr>
    <w:r>
      <w:rPr>
        <w:noProof/>
      </w:rPr>
      <w:drawing>
        <wp:anchor distT="0" distB="0" distL="114300" distR="114300" simplePos="0" relativeHeight="251661312" behindDoc="0" locked="0" layoutInCell="1" allowOverlap="1" wp14:anchorId="4CB1CD87" wp14:editId="5C268F87">
          <wp:simplePos x="0" y="0"/>
          <wp:positionH relativeFrom="column">
            <wp:posOffset>1800</wp:posOffset>
          </wp:positionH>
          <wp:positionV relativeFrom="paragraph">
            <wp:posOffset>-1800</wp:posOffset>
          </wp:positionV>
          <wp:extent cx="1219320" cy="1329120"/>
          <wp:effectExtent l="0" t="0" r="0" b="4380"/>
          <wp:wrapTopAndBottom/>
          <wp:docPr id="2"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219320" cy="1329120"/>
                  </a:xfrm>
                  <a:prstGeom prst="rect">
                    <a:avLst/>
                  </a:prstGeom>
                  <a:noFill/>
                  <a:ln>
                    <a:noFill/>
                    <a:prstDash/>
                  </a:ln>
                </pic:spPr>
              </pic:pic>
            </a:graphicData>
          </a:graphic>
        </wp:anchor>
      </w:drawing>
    </w:r>
  </w:p>
  <w:tbl>
    <w:tblPr>
      <w:tblW w:w="8821" w:type="dxa"/>
      <w:jc w:val="right"/>
      <w:tblLayout w:type="fixed"/>
      <w:tblCellMar>
        <w:left w:w="10" w:type="dxa"/>
        <w:right w:w="10" w:type="dxa"/>
      </w:tblCellMar>
      <w:tblLook w:val="04A0" w:firstRow="1" w:lastRow="0" w:firstColumn="1" w:lastColumn="0" w:noHBand="0" w:noVBand="1"/>
    </w:tblPr>
    <w:tblGrid>
      <w:gridCol w:w="8821"/>
    </w:tblGrid>
    <w:tr w:rsidR="00B46B8B" w14:paraId="23356B9C" w14:textId="77777777">
      <w:trPr>
        <w:jc w:val="right"/>
      </w:trPr>
      <w:tc>
        <w:tcPr>
          <w:tcW w:w="8821" w:type="dxa"/>
          <w:tcMar>
            <w:top w:w="0" w:type="dxa"/>
            <w:left w:w="10" w:type="dxa"/>
            <w:bottom w:w="0" w:type="dxa"/>
            <w:right w:w="10" w:type="dxa"/>
          </w:tcMar>
          <w:vAlign w:val="center"/>
        </w:tcPr>
        <w:p w14:paraId="239EEEA1" w14:textId="77777777" w:rsidR="00F95939" w:rsidRDefault="00044C8E">
          <w:pPr>
            <w:pStyle w:val="En-tte"/>
            <w:suppressAutoHyphens w:val="0"/>
            <w:spacing w:before="0" w:after="57"/>
            <w:ind w:firstLine="0"/>
            <w:jc w:val="center"/>
            <w:rPr>
              <w:color w:val="7D4D62"/>
              <w:sz w:val="16"/>
              <w:szCs w:val="16"/>
            </w:rPr>
          </w:pPr>
          <w:r>
            <w:rPr>
              <w:color w:val="7D4D62"/>
              <w:sz w:val="16"/>
              <w:szCs w:val="16"/>
            </w:rPr>
            <w:t>Alliance du Trèfle</w:t>
          </w:r>
        </w:p>
      </w:tc>
    </w:tr>
    <w:tr w:rsidR="00B46B8B" w14:paraId="3E0FB3B7" w14:textId="77777777">
      <w:trPr>
        <w:jc w:val="right"/>
      </w:trPr>
      <w:tc>
        <w:tcPr>
          <w:tcW w:w="8821" w:type="dxa"/>
          <w:tcMar>
            <w:top w:w="0" w:type="dxa"/>
            <w:left w:w="10" w:type="dxa"/>
            <w:bottom w:w="0" w:type="dxa"/>
            <w:right w:w="10" w:type="dxa"/>
          </w:tcMar>
          <w:vAlign w:val="center"/>
        </w:tcPr>
        <w:p w14:paraId="536E0056" w14:textId="77777777" w:rsidR="00F95939" w:rsidRDefault="00044C8E">
          <w:pPr>
            <w:pStyle w:val="En-tte"/>
            <w:suppressAutoHyphens w:val="0"/>
            <w:spacing w:before="0" w:after="0"/>
            <w:ind w:firstLine="0"/>
            <w:jc w:val="center"/>
            <w:rPr>
              <w:sz w:val="32"/>
              <w:szCs w:val="32"/>
            </w:rPr>
          </w:pPr>
          <w:r>
            <w:rPr>
              <w:sz w:val="32"/>
              <w:szCs w:val="32"/>
            </w:rPr>
            <w:t>Déclaration liminaire</w:t>
          </w:r>
        </w:p>
      </w:tc>
    </w:tr>
    <w:tr w:rsidR="00B46B8B" w14:paraId="5211CF07" w14:textId="77777777">
      <w:trPr>
        <w:trHeight w:val="698"/>
        <w:jc w:val="right"/>
      </w:trPr>
      <w:tc>
        <w:tcPr>
          <w:tcW w:w="8821" w:type="dxa"/>
          <w:tcMar>
            <w:top w:w="0" w:type="dxa"/>
            <w:left w:w="10" w:type="dxa"/>
            <w:bottom w:w="0" w:type="dxa"/>
            <w:right w:w="10" w:type="dxa"/>
          </w:tcMar>
          <w:vAlign w:val="center"/>
        </w:tcPr>
        <w:p w14:paraId="7B6E5077" w14:textId="132496A7" w:rsidR="00F95939" w:rsidRDefault="00044C8E">
          <w:pPr>
            <w:pStyle w:val="En-tte"/>
            <w:suppressAutoHyphens w:val="0"/>
            <w:spacing w:before="0" w:after="0"/>
            <w:ind w:firstLine="0"/>
            <w:jc w:val="center"/>
          </w:pPr>
          <w:r>
            <w:rPr>
              <w:b/>
              <w:bCs/>
              <w:color w:val="791F45"/>
              <w:sz w:val="32"/>
              <w:szCs w:val="32"/>
            </w:rPr>
            <w:fldChar w:fldCharType="begin"/>
          </w:r>
          <w:r>
            <w:rPr>
              <w:b/>
              <w:bCs/>
              <w:color w:val="791F45"/>
              <w:sz w:val="32"/>
              <w:szCs w:val="32"/>
            </w:rPr>
            <w:instrText xml:space="preserve"> SUBJECT </w:instrText>
          </w:r>
          <w:r>
            <w:rPr>
              <w:b/>
              <w:bCs/>
              <w:color w:val="791F45"/>
              <w:sz w:val="32"/>
              <w:szCs w:val="32"/>
            </w:rPr>
            <w:fldChar w:fldCharType="separate"/>
          </w:r>
          <w:r w:rsidR="007E10E9">
            <w:rPr>
              <w:b/>
              <w:bCs/>
              <w:color w:val="791F45"/>
              <w:sz w:val="32"/>
              <w:szCs w:val="32"/>
            </w:rPr>
            <w:t>CSA Ministériel</w:t>
          </w:r>
          <w:r>
            <w:rPr>
              <w:b/>
              <w:bCs/>
              <w:color w:val="791F45"/>
              <w:sz w:val="32"/>
              <w:szCs w:val="32"/>
            </w:rPr>
            <w:fldChar w:fldCharType="end"/>
          </w:r>
        </w:p>
      </w:tc>
    </w:tr>
    <w:tr w:rsidR="00B46B8B" w14:paraId="08D7F6B9" w14:textId="77777777">
      <w:trPr>
        <w:jc w:val="right"/>
      </w:trPr>
      <w:tc>
        <w:tcPr>
          <w:tcW w:w="8821" w:type="dxa"/>
          <w:tcMar>
            <w:top w:w="0" w:type="dxa"/>
            <w:left w:w="10" w:type="dxa"/>
            <w:bottom w:w="0" w:type="dxa"/>
            <w:right w:w="10" w:type="dxa"/>
          </w:tcMar>
          <w:vAlign w:val="center"/>
        </w:tcPr>
        <w:p w14:paraId="10402BAB" w14:textId="77777777" w:rsidR="00F95939" w:rsidRDefault="00F95939">
          <w:pPr>
            <w:pStyle w:val="En-tte"/>
            <w:suppressAutoHyphens w:val="0"/>
            <w:spacing w:before="0" w:after="0"/>
            <w:ind w:firstLine="0"/>
            <w:jc w:val="center"/>
            <w:rPr>
              <w:sz w:val="32"/>
              <w:szCs w:val="32"/>
            </w:rPr>
          </w:pPr>
        </w:p>
      </w:tc>
    </w:tr>
    <w:tr w:rsidR="00B46B8B" w14:paraId="63C4BBFD" w14:textId="77777777">
      <w:trPr>
        <w:jc w:val="right"/>
      </w:trPr>
      <w:tc>
        <w:tcPr>
          <w:tcW w:w="8821" w:type="dxa"/>
          <w:tcMar>
            <w:top w:w="0" w:type="dxa"/>
            <w:left w:w="10" w:type="dxa"/>
            <w:bottom w:w="0" w:type="dxa"/>
            <w:right w:w="10" w:type="dxa"/>
          </w:tcMar>
          <w:vAlign w:val="center"/>
        </w:tcPr>
        <w:p w14:paraId="6020C224" w14:textId="28F6C240" w:rsidR="00F95939" w:rsidRDefault="001A5E59">
          <w:pPr>
            <w:pStyle w:val="En-tte"/>
            <w:suppressAutoHyphens w:val="0"/>
            <w:spacing w:before="0" w:after="0"/>
            <w:ind w:firstLine="0"/>
            <w:jc w:val="center"/>
            <w:rPr>
              <w:color w:val="7D4D62"/>
              <w:sz w:val="16"/>
              <w:szCs w:val="16"/>
            </w:rPr>
          </w:pPr>
          <w:r>
            <w:rPr>
              <w:color w:val="7D4D62"/>
              <w:sz w:val="16"/>
              <w:szCs w:val="16"/>
            </w:rPr>
            <w:t>03 novembre</w:t>
          </w:r>
          <w:r w:rsidR="00044C8E">
            <w:rPr>
              <w:color w:val="7D4D62"/>
              <w:sz w:val="16"/>
              <w:szCs w:val="16"/>
            </w:rPr>
            <w:t xml:space="preserve"> 2026</w:t>
          </w:r>
        </w:p>
      </w:tc>
    </w:tr>
  </w:tbl>
  <w:p w14:paraId="0D6CBBBE" w14:textId="77777777" w:rsidR="00F95939" w:rsidRDefault="00F95939">
    <w:pPr>
      <w:pStyle w:val="En-tte"/>
      <w:spacing w:before="0" w:after="0"/>
      <w:ind w:left="1701" w:firstLine="0"/>
      <w:jc w:val="center"/>
      <w:rPr>
        <w:color w:val="7D4D62"/>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06FF"/>
    <w:multiLevelType w:val="multilevel"/>
    <w:tmpl w:val="08F03DF8"/>
    <w:styleLink w:val="WWNum1aa"/>
    <w:lvl w:ilvl="0">
      <w:numFmt w:val="bullet"/>
      <w:lvlText w:val=""/>
      <w:lvlJc w:val="left"/>
      <w:pPr>
        <w:ind w:left="720" w:hanging="360"/>
      </w:pPr>
      <w:rPr>
        <w:rFonts w:ascii="Times New Roman" w:eastAsia="Calibri"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Courier New" w:hAnsi="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Courier New" w:hAnsi="Courier New"/>
      </w:rPr>
    </w:lvl>
    <w:lvl w:ilvl="8">
      <w:numFmt w:val="bullet"/>
      <w:lvlText w:val=""/>
      <w:lvlJc w:val="left"/>
      <w:pPr>
        <w:ind w:left="6480" w:hanging="360"/>
      </w:pPr>
    </w:lvl>
  </w:abstractNum>
  <w:abstractNum w:abstractNumId="1" w15:restartNumberingAfterBreak="0">
    <w:nsid w:val="097213BE"/>
    <w:multiLevelType w:val="multilevel"/>
    <w:tmpl w:val="39BAE994"/>
    <w:styleLink w:val="Liste51"/>
    <w:lvl w:ilvl="0">
      <w:numFmt w:val="bullet"/>
      <w:lvlText w:val="✗"/>
      <w:lvlJc w:val="left"/>
      <w:pPr>
        <w:ind w:left="227" w:hanging="227"/>
      </w:pPr>
      <w:rPr>
        <w:rFonts w:ascii="OpenSymbol" w:hAnsi="OpenSymbol"/>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2" w15:restartNumberingAfterBreak="0">
    <w:nsid w:val="09C207F9"/>
    <w:multiLevelType w:val="multilevel"/>
    <w:tmpl w:val="13BED1C2"/>
    <w:lvl w:ilvl="0">
      <w:numFmt w:val="bullet"/>
      <w:lvlText w:val="•"/>
      <w:lvlJc w:val="left"/>
      <w:pPr>
        <w:ind w:left="709" w:hanging="283"/>
      </w:pPr>
      <w:rPr>
        <w:rFonts w:ascii="OpenSymbol" w:eastAsia="OpenSymbol" w:hAnsi="OpenSymbol" w:cs="OpenSymbol"/>
        <w:color w:val="000000"/>
      </w:rPr>
    </w:lvl>
    <w:lvl w:ilvl="1">
      <w:numFmt w:val="bullet"/>
      <w:lvlText w:val="•"/>
      <w:lvlJc w:val="left"/>
      <w:pPr>
        <w:ind w:left="1418" w:hanging="283"/>
      </w:pPr>
      <w:rPr>
        <w:rFonts w:ascii="OpenSymbol" w:eastAsia="OpenSymbol" w:hAnsi="OpenSymbol" w:cs="OpenSymbol"/>
        <w:color w:val="000000"/>
      </w:rPr>
    </w:lvl>
    <w:lvl w:ilvl="2">
      <w:numFmt w:val="bullet"/>
      <w:lvlText w:val="•"/>
      <w:lvlJc w:val="left"/>
      <w:pPr>
        <w:ind w:left="2127" w:hanging="283"/>
      </w:pPr>
      <w:rPr>
        <w:rFonts w:ascii="OpenSymbol" w:eastAsia="OpenSymbol" w:hAnsi="OpenSymbol" w:cs="OpenSymbol"/>
        <w:color w:val="000000"/>
      </w:rPr>
    </w:lvl>
    <w:lvl w:ilvl="3">
      <w:numFmt w:val="bullet"/>
      <w:lvlText w:val="•"/>
      <w:lvlJc w:val="left"/>
      <w:pPr>
        <w:ind w:left="2836" w:hanging="283"/>
      </w:pPr>
      <w:rPr>
        <w:rFonts w:ascii="OpenSymbol" w:eastAsia="OpenSymbol" w:hAnsi="OpenSymbol" w:cs="OpenSymbol"/>
        <w:color w:val="000000"/>
      </w:rPr>
    </w:lvl>
    <w:lvl w:ilvl="4">
      <w:numFmt w:val="bullet"/>
      <w:lvlText w:val="•"/>
      <w:lvlJc w:val="left"/>
      <w:pPr>
        <w:ind w:left="3545" w:hanging="283"/>
      </w:pPr>
      <w:rPr>
        <w:rFonts w:ascii="OpenSymbol" w:eastAsia="OpenSymbol" w:hAnsi="OpenSymbol" w:cs="OpenSymbol"/>
        <w:color w:val="000000"/>
      </w:rPr>
    </w:lvl>
    <w:lvl w:ilvl="5">
      <w:numFmt w:val="bullet"/>
      <w:lvlText w:val="•"/>
      <w:lvlJc w:val="left"/>
      <w:pPr>
        <w:ind w:left="4254" w:hanging="283"/>
      </w:pPr>
      <w:rPr>
        <w:rFonts w:ascii="OpenSymbol" w:eastAsia="OpenSymbol" w:hAnsi="OpenSymbol" w:cs="OpenSymbol"/>
        <w:color w:val="000000"/>
      </w:rPr>
    </w:lvl>
    <w:lvl w:ilvl="6">
      <w:numFmt w:val="bullet"/>
      <w:lvlText w:val="•"/>
      <w:lvlJc w:val="left"/>
      <w:pPr>
        <w:ind w:left="4963" w:hanging="283"/>
      </w:pPr>
      <w:rPr>
        <w:rFonts w:ascii="OpenSymbol" w:eastAsia="OpenSymbol" w:hAnsi="OpenSymbol" w:cs="OpenSymbol"/>
        <w:color w:val="000000"/>
      </w:rPr>
    </w:lvl>
    <w:lvl w:ilvl="7">
      <w:numFmt w:val="bullet"/>
      <w:lvlText w:val="•"/>
      <w:lvlJc w:val="left"/>
      <w:pPr>
        <w:ind w:left="5672" w:hanging="283"/>
      </w:pPr>
      <w:rPr>
        <w:rFonts w:ascii="OpenSymbol" w:eastAsia="OpenSymbol" w:hAnsi="OpenSymbol" w:cs="OpenSymbol"/>
        <w:color w:val="000000"/>
      </w:rPr>
    </w:lvl>
    <w:lvl w:ilvl="8">
      <w:numFmt w:val="bullet"/>
      <w:lvlText w:val="•"/>
      <w:lvlJc w:val="left"/>
      <w:pPr>
        <w:ind w:left="6381" w:hanging="283"/>
      </w:pPr>
      <w:rPr>
        <w:rFonts w:ascii="OpenSymbol" w:eastAsia="OpenSymbol" w:hAnsi="OpenSymbol" w:cs="OpenSymbol"/>
        <w:color w:val="000000"/>
      </w:rPr>
    </w:lvl>
  </w:abstractNum>
  <w:abstractNum w:abstractNumId="3" w15:restartNumberingAfterBreak="0">
    <w:nsid w:val="0F154AC2"/>
    <w:multiLevelType w:val="multilevel"/>
    <w:tmpl w:val="DC5660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77B59"/>
    <w:multiLevelType w:val="multilevel"/>
    <w:tmpl w:val="ACEA074A"/>
    <w:styleLink w:val="WWNum2"/>
    <w:lvl w:ilvl="0">
      <w:numFmt w:val="bullet"/>
      <w:lvlText w:val="-"/>
      <w:lvlJc w:val="left"/>
      <w:pPr>
        <w:ind w:left="240" w:hanging="240"/>
      </w:pPr>
      <w:rPr>
        <w:rFonts w:ascii="Times New Roman" w:hAnsi="Times New Roman" w:cs="Courier New"/>
      </w:rPr>
    </w:lvl>
    <w:lvl w:ilvl="1">
      <w:numFmt w:val="bullet"/>
      <w:lvlText w:val="-"/>
      <w:lvlJc w:val="left"/>
      <w:pPr>
        <w:ind w:left="480" w:hanging="240"/>
      </w:pPr>
      <w:rPr>
        <w:rFonts w:ascii="Times New Roman" w:hAnsi="Times New Roman" w:cs="Courier New"/>
      </w:rPr>
    </w:lvl>
    <w:lvl w:ilvl="2">
      <w:numFmt w:val="bullet"/>
      <w:lvlText w:val="-"/>
      <w:lvlJc w:val="left"/>
      <w:pPr>
        <w:ind w:left="720" w:hanging="240"/>
      </w:pPr>
      <w:rPr>
        <w:rFonts w:ascii="Times New Roman" w:hAnsi="Times New Roman" w:cs="Courier New"/>
      </w:rPr>
    </w:lvl>
    <w:lvl w:ilvl="3">
      <w:numFmt w:val="bullet"/>
      <w:lvlText w:val="-"/>
      <w:lvlJc w:val="left"/>
      <w:pPr>
        <w:ind w:left="960" w:hanging="240"/>
      </w:pPr>
      <w:rPr>
        <w:rFonts w:ascii="Times New Roman" w:hAnsi="Times New Roman" w:cs="Courier New"/>
      </w:rPr>
    </w:lvl>
    <w:lvl w:ilvl="4">
      <w:numFmt w:val="bullet"/>
      <w:lvlText w:val="-"/>
      <w:lvlJc w:val="left"/>
      <w:pPr>
        <w:ind w:left="1200" w:hanging="240"/>
      </w:pPr>
      <w:rPr>
        <w:rFonts w:ascii="Times New Roman" w:hAnsi="Times New Roman" w:cs="Courier New"/>
      </w:rPr>
    </w:lvl>
    <w:lvl w:ilvl="5">
      <w:numFmt w:val="bullet"/>
      <w:lvlText w:val="-"/>
      <w:lvlJc w:val="left"/>
      <w:pPr>
        <w:ind w:left="1440" w:hanging="240"/>
      </w:pPr>
      <w:rPr>
        <w:rFonts w:ascii="Times New Roman" w:hAnsi="Times New Roman" w:cs="Courier New"/>
      </w:rPr>
    </w:lvl>
    <w:lvl w:ilvl="6">
      <w:numFmt w:val="bullet"/>
      <w:lvlText w:val="-"/>
      <w:lvlJc w:val="left"/>
      <w:pPr>
        <w:ind w:left="1680" w:hanging="240"/>
      </w:pPr>
      <w:rPr>
        <w:rFonts w:ascii="Times New Roman" w:hAnsi="Times New Roman" w:cs="Courier New"/>
      </w:rPr>
    </w:lvl>
    <w:lvl w:ilvl="7">
      <w:numFmt w:val="bullet"/>
      <w:lvlText w:val="-"/>
      <w:lvlJc w:val="left"/>
      <w:pPr>
        <w:ind w:left="1920" w:hanging="240"/>
      </w:pPr>
      <w:rPr>
        <w:rFonts w:ascii="Times New Roman" w:hAnsi="Times New Roman" w:cs="Courier New"/>
      </w:rPr>
    </w:lvl>
    <w:lvl w:ilvl="8">
      <w:numFmt w:val="bullet"/>
      <w:lvlText w:val="-"/>
      <w:lvlJc w:val="left"/>
      <w:pPr>
        <w:ind w:left="2160" w:hanging="240"/>
      </w:pPr>
      <w:rPr>
        <w:rFonts w:ascii="Times New Roman" w:hAnsi="Times New Roman" w:cs="Courier New"/>
      </w:rPr>
    </w:lvl>
  </w:abstractNum>
  <w:abstractNum w:abstractNumId="5" w15:restartNumberingAfterBreak="0">
    <w:nsid w:val="17722967"/>
    <w:multiLevelType w:val="multilevel"/>
    <w:tmpl w:val="1F1CB618"/>
    <w:styleLink w:val="Numbering21"/>
    <w:lvl w:ilvl="0">
      <w:start w:val="1"/>
      <w:numFmt w:val="decimal"/>
      <w:lvlText w:val="%1"/>
      <w:lvlJc w:val="left"/>
      <w:pPr>
        <w:ind w:left="283" w:hanging="283"/>
      </w:pPr>
    </w:lvl>
    <w:lvl w:ilvl="1">
      <w:start w:val="2"/>
      <w:numFmt w:val="decimal"/>
      <w:lvlText w:val="%2"/>
      <w:lvlJc w:val="left"/>
      <w:pPr>
        <w:ind w:left="566" w:hanging="283"/>
      </w:pPr>
    </w:lvl>
    <w:lvl w:ilvl="2">
      <w:start w:val="3"/>
      <w:numFmt w:val="decimal"/>
      <w:lvlText w:val="%3"/>
      <w:lvlJc w:val="left"/>
      <w:pPr>
        <w:ind w:left="1133" w:hanging="567"/>
      </w:pPr>
    </w:lvl>
    <w:lvl w:ilvl="3">
      <w:start w:val="4"/>
      <w:numFmt w:val="decimal"/>
      <w:lvlText w:val="%4"/>
      <w:lvlJc w:val="left"/>
      <w:pPr>
        <w:ind w:left="1842" w:hanging="709"/>
      </w:pPr>
    </w:lvl>
    <w:lvl w:ilvl="4">
      <w:start w:val="5"/>
      <w:numFmt w:val="decimal"/>
      <w:lvlText w:val="%5"/>
      <w:lvlJc w:val="left"/>
      <w:pPr>
        <w:ind w:left="2692" w:hanging="850"/>
      </w:pPr>
    </w:lvl>
    <w:lvl w:ilvl="5">
      <w:start w:val="6"/>
      <w:numFmt w:val="decimal"/>
      <w:lvlText w:val="%6"/>
      <w:lvlJc w:val="left"/>
      <w:pPr>
        <w:ind w:left="3713" w:hanging="1021"/>
      </w:pPr>
    </w:lvl>
    <w:lvl w:ilvl="6">
      <w:start w:val="7"/>
      <w:numFmt w:val="decimal"/>
      <w:lvlText w:val="%7"/>
      <w:lvlJc w:val="left"/>
      <w:pPr>
        <w:ind w:left="5017" w:hanging="1304"/>
      </w:pPr>
    </w:lvl>
    <w:lvl w:ilvl="7">
      <w:start w:val="8"/>
      <w:numFmt w:val="decimal"/>
      <w:lvlText w:val="%8"/>
      <w:lvlJc w:val="left"/>
      <w:pPr>
        <w:ind w:left="6491" w:hanging="1474"/>
      </w:pPr>
    </w:lvl>
    <w:lvl w:ilvl="8">
      <w:start w:val="9"/>
      <w:numFmt w:val="decimal"/>
      <w:lvlText w:val="%9"/>
      <w:lvlJc w:val="left"/>
      <w:pPr>
        <w:ind w:left="8079" w:hanging="1588"/>
      </w:pPr>
    </w:lvl>
  </w:abstractNum>
  <w:abstractNum w:abstractNumId="6" w15:restartNumberingAfterBreak="0">
    <w:nsid w:val="1EDF1912"/>
    <w:multiLevelType w:val="multilevel"/>
    <w:tmpl w:val="DA7EA71A"/>
    <w:styleLink w:val="WWNum3"/>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lvl>
  </w:abstractNum>
  <w:abstractNum w:abstractNumId="7" w15:restartNumberingAfterBreak="0">
    <w:nsid w:val="1F924DD9"/>
    <w:multiLevelType w:val="multilevel"/>
    <w:tmpl w:val="A230A33C"/>
    <w:styleLink w:val="WWNum1aaaaaa"/>
    <w:lvl w:ilvl="0">
      <w:numFmt w:val="bullet"/>
      <w:lvlText w:val="-"/>
      <w:lvlJc w:val="left"/>
      <w:pPr>
        <w:ind w:left="720" w:hanging="360"/>
      </w:pPr>
      <w:rPr>
        <w:rFonts w:eastAsia="Calibri"/>
      </w:rPr>
    </w:lvl>
    <w:lvl w:ilvl="1">
      <w:numFmt w:val="bullet"/>
      <w:lvlText w:val="o"/>
      <w:lvlJc w:val="left"/>
      <w:pPr>
        <w:ind w:left="1440" w:hanging="360"/>
      </w:pPr>
      <w:rPr>
        <w:rFonts w:ascii="Courier New" w:hAnsi="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Courier New" w:hAnsi="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Courier New" w:hAnsi="Courier New"/>
      </w:rPr>
    </w:lvl>
    <w:lvl w:ilvl="8">
      <w:numFmt w:val="bullet"/>
      <w:lvlText w:val=""/>
      <w:lvlJc w:val="left"/>
      <w:pPr>
        <w:ind w:left="6480" w:hanging="360"/>
      </w:pPr>
    </w:lvl>
  </w:abstractNum>
  <w:abstractNum w:abstractNumId="8" w15:restartNumberingAfterBreak="0">
    <w:nsid w:val="219E75A0"/>
    <w:multiLevelType w:val="multilevel"/>
    <w:tmpl w:val="B734FBA4"/>
    <w:styleLink w:val="WWNum4"/>
    <w:lvl w:ilvl="0">
      <w:numFmt w:val="bullet"/>
      <w:lvlText w:val="-"/>
      <w:lvlJc w:val="left"/>
      <w:pPr>
        <w:ind w:left="1440" w:hanging="360"/>
      </w:pPr>
      <w:rPr>
        <w:rFonts w:ascii="Times New Roman" w:eastAsia="Calibri" w:hAnsi="Times New Roman" w:cs="Tahoma"/>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lvl>
    <w:lvl w:ilvl="3">
      <w:numFmt w:val="bullet"/>
      <w:lvlText w:val=""/>
      <w:lvlJc w:val="left"/>
      <w:pPr>
        <w:ind w:left="3600" w:hanging="360"/>
      </w:p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lvl>
    <w:lvl w:ilvl="6">
      <w:numFmt w:val="bullet"/>
      <w:lvlText w:val=""/>
      <w:lvlJc w:val="left"/>
      <w:pPr>
        <w:ind w:left="5760" w:hanging="360"/>
      </w:p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lvl>
  </w:abstractNum>
  <w:abstractNum w:abstractNumId="9" w15:restartNumberingAfterBreak="0">
    <w:nsid w:val="220844CA"/>
    <w:multiLevelType w:val="multilevel"/>
    <w:tmpl w:val="853028E4"/>
    <w:styleLink w:val="WWNum1aaaaa"/>
    <w:lvl w:ilvl="0">
      <w:numFmt w:val="bullet"/>
      <w:lvlText w:val=""/>
      <w:lvlJc w:val="left"/>
      <w:pPr>
        <w:ind w:left="720" w:hanging="360"/>
      </w:pPr>
    </w:lvl>
    <w:lvl w:ilvl="1">
      <w:numFmt w:val="bullet"/>
      <w:lvlText w:val="o"/>
      <w:lvlJc w:val="left"/>
      <w:pPr>
        <w:ind w:left="1440" w:hanging="360"/>
      </w:pPr>
      <w:rPr>
        <w:rFonts w:ascii="Courier New" w:hAnsi="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Courier New" w:hAnsi="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Courier New" w:hAnsi="Courier New"/>
      </w:rPr>
    </w:lvl>
    <w:lvl w:ilvl="8">
      <w:numFmt w:val="bullet"/>
      <w:lvlText w:val=""/>
      <w:lvlJc w:val="left"/>
      <w:pPr>
        <w:ind w:left="6480" w:hanging="360"/>
      </w:pPr>
    </w:lvl>
  </w:abstractNum>
  <w:abstractNum w:abstractNumId="10" w15:restartNumberingAfterBreak="0">
    <w:nsid w:val="2F21328E"/>
    <w:multiLevelType w:val="multilevel"/>
    <w:tmpl w:val="703E78A0"/>
    <w:styleLink w:val="Numbering11"/>
    <w:lvl w:ilvl="0">
      <w:start w:val="1"/>
      <w:numFmt w:val="decimal"/>
      <w:lvlText w:val="%1."/>
      <w:lvlJc w:val="left"/>
      <w:pPr>
        <w:ind w:left="283" w:hanging="283"/>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1" w15:restartNumberingAfterBreak="0">
    <w:nsid w:val="2FD77BBC"/>
    <w:multiLevelType w:val="multilevel"/>
    <w:tmpl w:val="5120A4D8"/>
    <w:styleLink w:val="Liste31"/>
    <w:lvl w:ilvl="0">
      <w:numFmt w:val="bullet"/>
      <w:lvlText w:val="☑"/>
      <w:lvlJc w:val="left"/>
      <w:pPr>
        <w:ind w:left="224" w:hanging="224"/>
      </w:pPr>
      <w:rPr>
        <w:rFonts w:ascii="OpenSymbol" w:hAnsi="OpenSymbol"/>
      </w:rPr>
    </w:lvl>
    <w:lvl w:ilvl="1">
      <w:numFmt w:val="bullet"/>
      <w:lvlText w:val="□"/>
      <w:lvlJc w:val="left"/>
      <w:pPr>
        <w:ind w:left="448" w:hanging="224"/>
      </w:pPr>
      <w:rPr>
        <w:rFonts w:ascii="OpenSymbol" w:hAnsi="OpenSymbol"/>
      </w:rPr>
    </w:lvl>
    <w:lvl w:ilvl="2">
      <w:numFmt w:val="bullet"/>
      <w:lvlText w:val="☑"/>
      <w:lvlJc w:val="left"/>
      <w:pPr>
        <w:ind w:left="224" w:hanging="224"/>
      </w:pPr>
      <w:rPr>
        <w:rFonts w:ascii="OpenSymbol" w:hAnsi="OpenSymbol"/>
      </w:rPr>
    </w:lvl>
    <w:lvl w:ilvl="3">
      <w:numFmt w:val="bullet"/>
      <w:lvlText w:val="□"/>
      <w:lvlJc w:val="left"/>
      <w:pPr>
        <w:ind w:left="448" w:hanging="224"/>
      </w:pPr>
      <w:rPr>
        <w:rFonts w:ascii="OpenSymbol" w:hAnsi="OpenSymbol"/>
      </w:rPr>
    </w:lvl>
    <w:lvl w:ilvl="4">
      <w:numFmt w:val="bullet"/>
      <w:lvlText w:val="☑"/>
      <w:lvlJc w:val="left"/>
      <w:pPr>
        <w:ind w:left="224" w:hanging="224"/>
      </w:pPr>
      <w:rPr>
        <w:rFonts w:ascii="OpenSymbol" w:hAnsi="OpenSymbol"/>
      </w:rPr>
    </w:lvl>
    <w:lvl w:ilvl="5">
      <w:numFmt w:val="bullet"/>
      <w:lvlText w:val="□"/>
      <w:lvlJc w:val="left"/>
      <w:pPr>
        <w:ind w:left="448" w:hanging="224"/>
      </w:pPr>
      <w:rPr>
        <w:rFonts w:ascii="OpenSymbol" w:hAnsi="OpenSymbol"/>
      </w:rPr>
    </w:lvl>
    <w:lvl w:ilvl="6">
      <w:numFmt w:val="bullet"/>
      <w:lvlText w:val="☑"/>
      <w:lvlJc w:val="left"/>
      <w:pPr>
        <w:ind w:left="224" w:hanging="224"/>
      </w:pPr>
      <w:rPr>
        <w:rFonts w:ascii="OpenSymbol" w:hAnsi="OpenSymbol"/>
      </w:rPr>
    </w:lvl>
    <w:lvl w:ilvl="7">
      <w:numFmt w:val="bullet"/>
      <w:lvlText w:val="□"/>
      <w:lvlJc w:val="left"/>
      <w:pPr>
        <w:ind w:left="448" w:hanging="224"/>
      </w:pPr>
      <w:rPr>
        <w:rFonts w:ascii="OpenSymbol" w:hAnsi="OpenSymbol"/>
      </w:rPr>
    </w:lvl>
    <w:lvl w:ilvl="8">
      <w:numFmt w:val="bullet"/>
      <w:lvlText w:val="☑"/>
      <w:lvlJc w:val="left"/>
      <w:pPr>
        <w:ind w:left="224" w:hanging="224"/>
      </w:pPr>
      <w:rPr>
        <w:rFonts w:ascii="OpenSymbol" w:hAnsi="OpenSymbol"/>
      </w:rPr>
    </w:lvl>
  </w:abstractNum>
  <w:abstractNum w:abstractNumId="12" w15:restartNumberingAfterBreak="0">
    <w:nsid w:val="31D031AC"/>
    <w:multiLevelType w:val="multilevel"/>
    <w:tmpl w:val="BCCC5B34"/>
    <w:styleLink w:val="List11"/>
    <w:lvl w:ilvl="0">
      <w:numFmt w:val="bullet"/>
      <w:lvlText w:val="•"/>
      <w:lvlJc w:val="left"/>
      <w:pPr>
        <w:ind w:left="1307" w:hanging="227"/>
      </w:pPr>
      <w:rPr>
        <w:rFonts w:ascii="OpenSymbol" w:hAnsi="OpenSymbol"/>
      </w:rPr>
    </w:lvl>
    <w:lvl w:ilvl="1">
      <w:numFmt w:val="bullet"/>
      <w:lvlText w:val="•"/>
      <w:lvlJc w:val="left"/>
      <w:pPr>
        <w:ind w:left="1534" w:hanging="227"/>
      </w:pPr>
      <w:rPr>
        <w:rFonts w:ascii="OpenSymbol" w:hAnsi="OpenSymbol"/>
      </w:rPr>
    </w:lvl>
    <w:lvl w:ilvl="2">
      <w:numFmt w:val="bullet"/>
      <w:lvlText w:val="•"/>
      <w:lvlJc w:val="left"/>
      <w:pPr>
        <w:ind w:left="1760" w:hanging="227"/>
      </w:pPr>
      <w:rPr>
        <w:rFonts w:ascii="OpenSymbol" w:hAnsi="OpenSymbol"/>
      </w:rPr>
    </w:lvl>
    <w:lvl w:ilvl="3">
      <w:numFmt w:val="bullet"/>
      <w:lvlText w:val="•"/>
      <w:lvlJc w:val="left"/>
      <w:pPr>
        <w:ind w:left="1987" w:hanging="227"/>
      </w:pPr>
      <w:rPr>
        <w:rFonts w:ascii="OpenSymbol" w:hAnsi="OpenSymbol"/>
      </w:rPr>
    </w:lvl>
    <w:lvl w:ilvl="4">
      <w:numFmt w:val="bullet"/>
      <w:lvlText w:val="•"/>
      <w:lvlJc w:val="left"/>
      <w:pPr>
        <w:ind w:left="2214" w:hanging="227"/>
      </w:pPr>
      <w:rPr>
        <w:rFonts w:ascii="OpenSymbol" w:hAnsi="OpenSymbol"/>
      </w:rPr>
    </w:lvl>
    <w:lvl w:ilvl="5">
      <w:numFmt w:val="bullet"/>
      <w:lvlText w:val="•"/>
      <w:lvlJc w:val="left"/>
      <w:pPr>
        <w:ind w:left="2441" w:hanging="227"/>
      </w:pPr>
      <w:rPr>
        <w:rFonts w:ascii="OpenSymbol" w:hAnsi="OpenSymbol"/>
      </w:rPr>
    </w:lvl>
    <w:lvl w:ilvl="6">
      <w:numFmt w:val="bullet"/>
      <w:lvlText w:val="•"/>
      <w:lvlJc w:val="left"/>
      <w:pPr>
        <w:ind w:left="2667" w:hanging="227"/>
      </w:pPr>
      <w:rPr>
        <w:rFonts w:ascii="OpenSymbol" w:hAnsi="OpenSymbol"/>
      </w:rPr>
    </w:lvl>
    <w:lvl w:ilvl="7">
      <w:numFmt w:val="bullet"/>
      <w:lvlText w:val="•"/>
      <w:lvlJc w:val="left"/>
      <w:pPr>
        <w:ind w:left="2894" w:hanging="227"/>
      </w:pPr>
      <w:rPr>
        <w:rFonts w:ascii="OpenSymbol" w:hAnsi="OpenSymbol"/>
      </w:rPr>
    </w:lvl>
    <w:lvl w:ilvl="8">
      <w:numFmt w:val="bullet"/>
      <w:lvlText w:val="•"/>
      <w:lvlJc w:val="left"/>
      <w:pPr>
        <w:ind w:left="3121" w:hanging="227"/>
      </w:pPr>
      <w:rPr>
        <w:rFonts w:ascii="OpenSymbol" w:hAnsi="OpenSymbol"/>
      </w:rPr>
    </w:lvl>
  </w:abstractNum>
  <w:abstractNum w:abstractNumId="13" w15:restartNumberingAfterBreak="0">
    <w:nsid w:val="366C0DDA"/>
    <w:multiLevelType w:val="multilevel"/>
    <w:tmpl w:val="1E225B20"/>
    <w:styleLink w:val="Numbering31"/>
    <w:lvl w:ilvl="0">
      <w:start w:val="1"/>
      <w:numFmt w:val="decimal"/>
      <w:lvlText w:val="%1"/>
      <w:lvlJc w:val="left"/>
      <w:pPr>
        <w:ind w:left="1701" w:hanging="1701"/>
      </w:pPr>
    </w:lvl>
    <w:lvl w:ilvl="1">
      <w:start w:val="2"/>
      <w:numFmt w:val="decimal"/>
      <w:lvlText w:val="%2"/>
      <w:lvlJc w:val="left"/>
      <w:pPr>
        <w:ind w:left="3402" w:hanging="1701"/>
      </w:pPr>
    </w:lvl>
    <w:lvl w:ilvl="2">
      <w:start w:val="3"/>
      <w:numFmt w:val="decimal"/>
      <w:lvlText w:val="%3"/>
      <w:lvlJc w:val="left"/>
      <w:pPr>
        <w:ind w:left="5103" w:hanging="1701"/>
      </w:pPr>
    </w:lvl>
    <w:lvl w:ilvl="3">
      <w:start w:val="4"/>
      <w:numFmt w:val="decimal"/>
      <w:lvlText w:val="%4"/>
      <w:lvlJc w:val="left"/>
      <w:pPr>
        <w:ind w:left="6804" w:hanging="1701"/>
      </w:pPr>
    </w:lvl>
    <w:lvl w:ilvl="4">
      <w:start w:val="5"/>
      <w:numFmt w:val="decimal"/>
      <w:lvlText w:val="%5"/>
      <w:lvlJc w:val="left"/>
      <w:pPr>
        <w:ind w:left="8505" w:hanging="1701"/>
      </w:pPr>
    </w:lvl>
    <w:lvl w:ilvl="5">
      <w:start w:val="6"/>
      <w:numFmt w:val="decimal"/>
      <w:lvlText w:val="%6"/>
      <w:lvlJc w:val="left"/>
      <w:pPr>
        <w:ind w:left="10206" w:hanging="1701"/>
      </w:pPr>
    </w:lvl>
    <w:lvl w:ilvl="6">
      <w:start w:val="7"/>
      <w:numFmt w:val="decimal"/>
      <w:lvlText w:val="%7"/>
      <w:lvlJc w:val="left"/>
      <w:pPr>
        <w:ind w:left="11907" w:hanging="1701"/>
      </w:pPr>
    </w:lvl>
    <w:lvl w:ilvl="7">
      <w:start w:val="8"/>
      <w:numFmt w:val="decimal"/>
      <w:lvlText w:val="%8"/>
      <w:lvlJc w:val="left"/>
      <w:pPr>
        <w:ind w:left="13608" w:hanging="1701"/>
      </w:pPr>
    </w:lvl>
    <w:lvl w:ilvl="8">
      <w:start w:val="9"/>
      <w:numFmt w:val="decimal"/>
      <w:lvlText w:val="%9"/>
      <w:lvlJc w:val="left"/>
      <w:pPr>
        <w:ind w:left="15309" w:hanging="1701"/>
      </w:pPr>
    </w:lvl>
  </w:abstractNum>
  <w:abstractNum w:abstractNumId="14" w15:restartNumberingAfterBreak="0">
    <w:nsid w:val="3ABD3059"/>
    <w:multiLevelType w:val="multilevel"/>
    <w:tmpl w:val="E932C32C"/>
    <w:styleLink w:val="WWNum1"/>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lvl>
  </w:abstractNum>
  <w:abstractNum w:abstractNumId="15" w15:restartNumberingAfterBreak="0">
    <w:nsid w:val="3E807F43"/>
    <w:multiLevelType w:val="multilevel"/>
    <w:tmpl w:val="17CAFE4A"/>
    <w:styleLink w:val="Liste41"/>
    <w:lvl w:ilvl="0">
      <w:numFmt w:val="bullet"/>
      <w:lvlText w:val="➢"/>
      <w:lvlJc w:val="left"/>
      <w:pPr>
        <w:ind w:left="227" w:hanging="227"/>
      </w:pPr>
      <w:rPr>
        <w:rFonts w:ascii="OpenSymbol" w:hAnsi="OpenSymbol"/>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16" w15:restartNumberingAfterBreak="0">
    <w:nsid w:val="3EFB5B29"/>
    <w:multiLevelType w:val="multilevel"/>
    <w:tmpl w:val="20968E26"/>
    <w:styleLink w:val="WWNum1a"/>
    <w:lvl w:ilvl="0">
      <w:numFmt w:val="bullet"/>
      <w:lvlText w:val=""/>
      <w:lvlJc w:val="left"/>
      <w:pPr>
        <w:ind w:left="720" w:hanging="360"/>
      </w:pPr>
    </w:lvl>
    <w:lvl w:ilvl="1">
      <w:numFmt w:val="bullet"/>
      <w:lvlText w:val="o"/>
      <w:lvlJc w:val="left"/>
      <w:pPr>
        <w:ind w:left="1440" w:hanging="360"/>
      </w:pPr>
      <w:rPr>
        <w:rFonts w:ascii="Courier New" w:hAnsi="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Courier New" w:hAnsi="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Courier New" w:hAnsi="Courier New"/>
      </w:rPr>
    </w:lvl>
    <w:lvl w:ilvl="8">
      <w:numFmt w:val="bullet"/>
      <w:lvlText w:val=""/>
      <w:lvlJc w:val="left"/>
      <w:pPr>
        <w:ind w:left="6480" w:hanging="360"/>
      </w:pPr>
    </w:lvl>
  </w:abstractNum>
  <w:abstractNum w:abstractNumId="17" w15:restartNumberingAfterBreak="0">
    <w:nsid w:val="465F751E"/>
    <w:multiLevelType w:val="multilevel"/>
    <w:tmpl w:val="A672EB24"/>
    <w:styleLink w:val="WWNum1aaaa"/>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18" w15:restartNumberingAfterBreak="0">
    <w:nsid w:val="4A7B0FD4"/>
    <w:multiLevelType w:val="multilevel"/>
    <w:tmpl w:val="B7688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2C461E"/>
    <w:multiLevelType w:val="hybridMultilevel"/>
    <w:tmpl w:val="7744FBCC"/>
    <w:lvl w:ilvl="0" w:tplc="2E668C00">
      <w:start w:val="16"/>
      <w:numFmt w:val="bullet"/>
      <w:lvlText w:val=""/>
      <w:lvlJc w:val="left"/>
      <w:pPr>
        <w:ind w:left="720" w:hanging="360"/>
      </w:pPr>
      <w:rPr>
        <w:rFonts w:ascii="Symbol" w:eastAsia="Arial Unicode MS" w:hAnsi="Symbol"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0D561EC"/>
    <w:multiLevelType w:val="multilevel"/>
    <w:tmpl w:val="CD3634CA"/>
    <w:styleLink w:val="WW8Num1"/>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21" w15:restartNumberingAfterBreak="0">
    <w:nsid w:val="70E960C6"/>
    <w:multiLevelType w:val="multilevel"/>
    <w:tmpl w:val="9494913A"/>
    <w:styleLink w:val="WWNum2a"/>
    <w:lvl w:ilvl="0">
      <w:numFmt w:val="bullet"/>
      <w:lvlText w:val=""/>
      <w:lvlJc w:val="left"/>
      <w:pPr>
        <w:ind w:left="720" w:hanging="360"/>
      </w:pPr>
    </w:lvl>
    <w:lvl w:ilvl="1">
      <w:numFmt w:val="bullet"/>
      <w:lvlText w:val="o"/>
      <w:lvlJc w:val="left"/>
      <w:pPr>
        <w:ind w:left="1440" w:hanging="360"/>
      </w:pPr>
      <w:rPr>
        <w:rFonts w:ascii="Courier New" w:hAnsi="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Courier New" w:hAnsi="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Courier New" w:hAnsi="Courier New"/>
      </w:rPr>
    </w:lvl>
    <w:lvl w:ilvl="8">
      <w:numFmt w:val="bullet"/>
      <w:lvlText w:val=""/>
      <w:lvlJc w:val="left"/>
      <w:pPr>
        <w:ind w:left="6480" w:hanging="360"/>
      </w:pPr>
    </w:lvl>
  </w:abstractNum>
  <w:abstractNum w:abstractNumId="22" w15:restartNumberingAfterBreak="0">
    <w:nsid w:val="71726C91"/>
    <w:multiLevelType w:val="multilevel"/>
    <w:tmpl w:val="AD1E07FC"/>
    <w:styleLink w:val="WWNum1aaa"/>
    <w:lvl w:ilvl="0">
      <w:start w:val="1"/>
      <w:numFmt w:val="japaneseCounting"/>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7F937E61"/>
    <w:multiLevelType w:val="multilevel"/>
    <w:tmpl w:val="53CAC4C6"/>
    <w:styleLink w:val="Liste21"/>
    <w:lvl w:ilvl="0">
      <w:numFmt w:val="bullet"/>
      <w:lvlText w:val="–"/>
      <w:lvlJc w:val="left"/>
      <w:pPr>
        <w:ind w:left="170" w:hanging="170"/>
      </w:pPr>
      <w:rPr>
        <w:rFonts w:ascii="OpenSymbol" w:hAnsi="OpenSymbol"/>
      </w:rPr>
    </w:lvl>
    <w:lvl w:ilvl="1">
      <w:numFmt w:val="bullet"/>
      <w:lvlText w:val="–"/>
      <w:lvlJc w:val="left"/>
      <w:pPr>
        <w:ind w:left="340" w:hanging="170"/>
      </w:pPr>
      <w:rPr>
        <w:rFonts w:ascii="OpenSymbol" w:hAnsi="OpenSymbol"/>
      </w:rPr>
    </w:lvl>
    <w:lvl w:ilvl="2">
      <w:numFmt w:val="bullet"/>
      <w:lvlText w:val="–"/>
      <w:lvlJc w:val="left"/>
      <w:pPr>
        <w:ind w:left="510" w:hanging="170"/>
      </w:pPr>
      <w:rPr>
        <w:rFonts w:ascii="OpenSymbol" w:hAnsi="OpenSymbol"/>
      </w:rPr>
    </w:lvl>
    <w:lvl w:ilvl="3">
      <w:numFmt w:val="bullet"/>
      <w:lvlText w:val="–"/>
      <w:lvlJc w:val="left"/>
      <w:pPr>
        <w:ind w:left="680" w:hanging="170"/>
      </w:pPr>
      <w:rPr>
        <w:rFonts w:ascii="OpenSymbol" w:hAnsi="OpenSymbol"/>
      </w:rPr>
    </w:lvl>
    <w:lvl w:ilvl="4">
      <w:numFmt w:val="bullet"/>
      <w:lvlText w:val="–"/>
      <w:lvlJc w:val="left"/>
      <w:pPr>
        <w:ind w:left="850" w:hanging="170"/>
      </w:pPr>
      <w:rPr>
        <w:rFonts w:ascii="OpenSymbol" w:hAnsi="OpenSymbol"/>
      </w:rPr>
    </w:lvl>
    <w:lvl w:ilvl="5">
      <w:numFmt w:val="bullet"/>
      <w:lvlText w:val="–"/>
      <w:lvlJc w:val="left"/>
      <w:pPr>
        <w:ind w:left="1020" w:hanging="170"/>
      </w:pPr>
      <w:rPr>
        <w:rFonts w:ascii="OpenSymbol" w:hAnsi="OpenSymbol"/>
      </w:rPr>
    </w:lvl>
    <w:lvl w:ilvl="6">
      <w:numFmt w:val="bullet"/>
      <w:lvlText w:val="–"/>
      <w:lvlJc w:val="left"/>
      <w:pPr>
        <w:ind w:left="1191" w:hanging="170"/>
      </w:pPr>
      <w:rPr>
        <w:rFonts w:ascii="OpenSymbol" w:hAnsi="OpenSymbol"/>
      </w:rPr>
    </w:lvl>
    <w:lvl w:ilvl="7">
      <w:numFmt w:val="bullet"/>
      <w:lvlText w:val="–"/>
      <w:lvlJc w:val="left"/>
      <w:pPr>
        <w:ind w:left="1361" w:hanging="170"/>
      </w:pPr>
      <w:rPr>
        <w:rFonts w:ascii="OpenSymbol" w:hAnsi="OpenSymbol"/>
      </w:rPr>
    </w:lvl>
    <w:lvl w:ilvl="8">
      <w:numFmt w:val="bullet"/>
      <w:lvlText w:val="–"/>
      <w:lvlJc w:val="left"/>
      <w:pPr>
        <w:ind w:left="1531" w:hanging="170"/>
      </w:pPr>
      <w:rPr>
        <w:rFonts w:ascii="OpenSymbol" w:hAnsi="OpenSymbol"/>
      </w:rPr>
    </w:lvl>
  </w:abstractNum>
  <w:num w:numId="1" w16cid:durableId="77333588">
    <w:abstractNumId w:val="23"/>
  </w:num>
  <w:num w:numId="2" w16cid:durableId="559752690">
    <w:abstractNumId w:val="11"/>
  </w:num>
  <w:num w:numId="3" w16cid:durableId="703100301">
    <w:abstractNumId w:val="15"/>
  </w:num>
  <w:num w:numId="4" w16cid:durableId="1623075472">
    <w:abstractNumId w:val="1"/>
  </w:num>
  <w:num w:numId="5" w16cid:durableId="702942604">
    <w:abstractNumId w:val="12"/>
  </w:num>
  <w:num w:numId="6" w16cid:durableId="198516960">
    <w:abstractNumId w:val="10"/>
  </w:num>
  <w:num w:numId="7" w16cid:durableId="1891376753">
    <w:abstractNumId w:val="5"/>
  </w:num>
  <w:num w:numId="8" w16cid:durableId="2031492921">
    <w:abstractNumId w:val="13"/>
  </w:num>
  <w:num w:numId="9" w16cid:durableId="1376276693">
    <w:abstractNumId w:val="6"/>
  </w:num>
  <w:num w:numId="10" w16cid:durableId="989943376">
    <w:abstractNumId w:val="8"/>
  </w:num>
  <w:num w:numId="11" w16cid:durableId="1599023869">
    <w:abstractNumId w:val="14"/>
  </w:num>
  <w:num w:numId="12" w16cid:durableId="1323661712">
    <w:abstractNumId w:val="4"/>
  </w:num>
  <w:num w:numId="13" w16cid:durableId="1536505335">
    <w:abstractNumId w:val="20"/>
  </w:num>
  <w:num w:numId="14" w16cid:durableId="540091519">
    <w:abstractNumId w:val="16"/>
  </w:num>
  <w:num w:numId="15" w16cid:durableId="308100795">
    <w:abstractNumId w:val="21"/>
  </w:num>
  <w:num w:numId="16" w16cid:durableId="808934514">
    <w:abstractNumId w:val="0"/>
  </w:num>
  <w:num w:numId="17" w16cid:durableId="1848447172">
    <w:abstractNumId w:val="22"/>
  </w:num>
  <w:num w:numId="18" w16cid:durableId="959997799">
    <w:abstractNumId w:val="17"/>
  </w:num>
  <w:num w:numId="19" w16cid:durableId="1252741473">
    <w:abstractNumId w:val="9"/>
  </w:num>
  <w:num w:numId="20" w16cid:durableId="1620841515">
    <w:abstractNumId w:val="7"/>
  </w:num>
  <w:num w:numId="21" w16cid:durableId="2117752434">
    <w:abstractNumId w:val="2"/>
  </w:num>
  <w:num w:numId="22" w16cid:durableId="1453015509">
    <w:abstractNumId w:val="3"/>
  </w:num>
  <w:num w:numId="23" w16cid:durableId="1626809872">
    <w:abstractNumId w:val="18"/>
  </w:num>
  <w:num w:numId="24" w16cid:durableId="12289598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594"/>
    <w:rsid w:val="00044C8E"/>
    <w:rsid w:val="00090AB2"/>
    <w:rsid w:val="00126C18"/>
    <w:rsid w:val="00145AD8"/>
    <w:rsid w:val="00154D99"/>
    <w:rsid w:val="001A1964"/>
    <w:rsid w:val="001A5E59"/>
    <w:rsid w:val="001C0047"/>
    <w:rsid w:val="00267309"/>
    <w:rsid w:val="0034366C"/>
    <w:rsid w:val="00361BC1"/>
    <w:rsid w:val="0036400F"/>
    <w:rsid w:val="003A5979"/>
    <w:rsid w:val="0040087D"/>
    <w:rsid w:val="00466A0A"/>
    <w:rsid w:val="00474307"/>
    <w:rsid w:val="00483D2A"/>
    <w:rsid w:val="004F38E1"/>
    <w:rsid w:val="0050465E"/>
    <w:rsid w:val="005C1650"/>
    <w:rsid w:val="005D2737"/>
    <w:rsid w:val="00624751"/>
    <w:rsid w:val="0066146B"/>
    <w:rsid w:val="006D5D8D"/>
    <w:rsid w:val="006E44C6"/>
    <w:rsid w:val="00730D18"/>
    <w:rsid w:val="007A6817"/>
    <w:rsid w:val="007D1155"/>
    <w:rsid w:val="007E10E9"/>
    <w:rsid w:val="008019B2"/>
    <w:rsid w:val="008A74E2"/>
    <w:rsid w:val="008E316D"/>
    <w:rsid w:val="00924837"/>
    <w:rsid w:val="009527D6"/>
    <w:rsid w:val="009A56B7"/>
    <w:rsid w:val="009C3A5C"/>
    <w:rsid w:val="009D2453"/>
    <w:rsid w:val="009E0AC6"/>
    <w:rsid w:val="00A179F7"/>
    <w:rsid w:val="00A50F12"/>
    <w:rsid w:val="00A67765"/>
    <w:rsid w:val="00AB58F0"/>
    <w:rsid w:val="00B27FA9"/>
    <w:rsid w:val="00B670D7"/>
    <w:rsid w:val="00BB137F"/>
    <w:rsid w:val="00BF6366"/>
    <w:rsid w:val="00C5399B"/>
    <w:rsid w:val="00C85F0F"/>
    <w:rsid w:val="00C86935"/>
    <w:rsid w:val="00CE3894"/>
    <w:rsid w:val="00D15831"/>
    <w:rsid w:val="00D94012"/>
    <w:rsid w:val="00DB7764"/>
    <w:rsid w:val="00DC1FE9"/>
    <w:rsid w:val="00DC49DD"/>
    <w:rsid w:val="00DE0E90"/>
    <w:rsid w:val="00E442FC"/>
    <w:rsid w:val="00E75594"/>
    <w:rsid w:val="00EB1B00"/>
    <w:rsid w:val="00F138ED"/>
    <w:rsid w:val="00F16E00"/>
    <w:rsid w:val="00F4365D"/>
    <w:rsid w:val="00F70485"/>
    <w:rsid w:val="00F90034"/>
    <w:rsid w:val="00F959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4E6E9"/>
  <w15:docId w15:val="{175C9F89-F679-4A7C-B608-1204EB651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Arial Unicode MS" w:hAnsi="Comic Sans MS" w:cs="Tahoma"/>
        <w:kern w:val="3"/>
        <w:sz w:val="24"/>
        <w:szCs w:val="24"/>
        <w:lang w:val="fr-FR" w:eastAsia="fr-FR"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FE9"/>
    <w:pPr>
      <w:suppressAutoHyphens/>
    </w:pPr>
  </w:style>
  <w:style w:type="paragraph" w:styleId="Titre1">
    <w:name w:val="heading 1"/>
    <w:next w:val="Standard"/>
    <w:uiPriority w:val="9"/>
    <w:qFormat/>
    <w:pPr>
      <w:pBdr>
        <w:top w:val="single" w:sz="4" w:space="1" w:color="333366"/>
        <w:left w:val="single" w:sz="4" w:space="1" w:color="333366"/>
        <w:bottom w:val="single" w:sz="4" w:space="1" w:color="333366"/>
        <w:right w:val="single" w:sz="4" w:space="1" w:color="333366"/>
      </w:pBdr>
      <w:shd w:val="clear" w:color="auto" w:fill="791F45"/>
      <w:suppressAutoHyphens/>
      <w:spacing w:before="340" w:after="113"/>
      <w:outlineLvl w:val="0"/>
    </w:pPr>
    <w:rPr>
      <w:rFonts w:ascii="Trebuchet MS" w:eastAsia="Trebuchet MS" w:hAnsi="Trebuchet MS" w:cs="Trebuchet MS"/>
      <w:b/>
      <w:bCs/>
      <w:color w:val="FFFFFF"/>
      <w:sz w:val="30"/>
    </w:rPr>
  </w:style>
  <w:style w:type="paragraph" w:styleId="Titre2">
    <w:name w:val="heading 2"/>
    <w:basedOn w:val="Titre1"/>
    <w:next w:val="Standard"/>
    <w:uiPriority w:val="9"/>
    <w:unhideWhenUsed/>
    <w:qFormat/>
    <w:pPr>
      <w:pBdr>
        <w:top w:val="none" w:sz="0" w:space="0" w:color="auto"/>
        <w:left w:val="none" w:sz="0" w:space="0" w:color="auto"/>
        <w:bottom w:val="none" w:sz="0" w:space="0" w:color="auto"/>
        <w:right w:val="none" w:sz="0" w:space="0" w:color="auto"/>
      </w:pBdr>
      <w:shd w:val="clear" w:color="auto" w:fill="A35C7F"/>
      <w:spacing w:before="283" w:after="0"/>
      <w:outlineLvl w:val="1"/>
    </w:pPr>
    <w:rPr>
      <w:i/>
      <w:iCs/>
      <w:sz w:val="28"/>
      <w:szCs w:val="28"/>
    </w:rPr>
  </w:style>
  <w:style w:type="paragraph" w:styleId="Titre3">
    <w:name w:val="heading 3"/>
    <w:basedOn w:val="Titre2"/>
    <w:next w:val="Titre4"/>
    <w:link w:val="Titre3Car"/>
    <w:uiPriority w:val="9"/>
    <w:unhideWhenUsed/>
    <w:qFormat/>
    <w:pPr>
      <w:shd w:val="clear" w:color="auto" w:fill="CFA8BC"/>
      <w:spacing w:before="227"/>
      <w:outlineLvl w:val="2"/>
    </w:pPr>
  </w:style>
  <w:style w:type="paragraph" w:styleId="Titre4">
    <w:name w:val="heading 4"/>
    <w:basedOn w:val="Titre3"/>
    <w:next w:val="Textbody"/>
    <w:uiPriority w:val="9"/>
    <w:semiHidden/>
    <w:unhideWhenUsed/>
    <w:qFormat/>
    <w:pPr>
      <w:shd w:val="clear" w:color="auto" w:fill="F3E9EF"/>
      <w:tabs>
        <w:tab w:val="left" w:pos="-675"/>
      </w:tabs>
      <w:spacing w:before="170"/>
      <w:jc w:val="both"/>
      <w:outlineLvl w:val="3"/>
    </w:pPr>
    <w:rPr>
      <w:bCs w:val="0"/>
      <w:color w:val="83C04A"/>
      <w:sz w:val="24"/>
    </w:rPr>
  </w:style>
  <w:style w:type="paragraph" w:styleId="Titre5">
    <w:name w:val="heading 5"/>
    <w:basedOn w:val="Titre4"/>
    <w:next w:val="Textbody"/>
    <w:uiPriority w:val="9"/>
    <w:semiHidden/>
    <w:unhideWhenUsed/>
    <w:qFormat/>
    <w:pPr>
      <w:keepLines/>
      <w:shd w:val="clear" w:color="auto" w:fill="83C04A"/>
      <w:tabs>
        <w:tab w:val="clear" w:pos="-675"/>
      </w:tabs>
      <w:spacing w:before="113"/>
      <w:jc w:val="left"/>
      <w:outlineLvl w:val="4"/>
    </w:pPr>
    <w:rPr>
      <w:bCs/>
      <w:i w:val="0"/>
      <w:color w:val="791F45"/>
      <w:sz w:val="22"/>
    </w:rPr>
  </w:style>
  <w:style w:type="paragraph" w:styleId="Titre6">
    <w:name w:val="heading 6"/>
    <w:basedOn w:val="Sous-titre"/>
    <w:next w:val="Textbody"/>
    <w:uiPriority w:val="9"/>
    <w:semiHidden/>
    <w:unhideWhenUsed/>
    <w:qFormat/>
    <w:pPr>
      <w:shd w:val="clear" w:color="auto" w:fill="98CA67"/>
      <w:spacing w:before="0"/>
      <w:ind w:firstLine="0"/>
      <w:jc w:val="left"/>
      <w:outlineLvl w:val="5"/>
    </w:pPr>
    <w:rPr>
      <w:rFonts w:eastAsia="Arial" w:cs="Arial"/>
      <w:color w:val="791F45"/>
      <w:sz w:val="22"/>
    </w:rPr>
  </w:style>
  <w:style w:type="paragraph" w:styleId="Titre7">
    <w:name w:val="heading 7"/>
    <w:basedOn w:val="Titre6"/>
    <w:next w:val="Standard"/>
    <w:pPr>
      <w:shd w:val="clear" w:color="auto" w:fill="B5DA91"/>
      <w:spacing w:before="57"/>
      <w:outlineLvl w:val="6"/>
    </w:pPr>
    <w:rPr>
      <w:color w:val="008000"/>
    </w:rPr>
  </w:style>
  <w:style w:type="paragraph" w:styleId="Titre8">
    <w:name w:val="heading 8"/>
    <w:basedOn w:val="Titre7"/>
    <w:next w:val="Standard"/>
    <w:pPr>
      <w:spacing w:before="0"/>
      <w:outlineLvl w:val="7"/>
    </w:pPr>
  </w:style>
  <w:style w:type="paragraph" w:styleId="Titre9">
    <w:name w:val="heading 9"/>
    <w:basedOn w:val="Titre8"/>
    <w:next w:val="Standard"/>
    <w:pPr>
      <w:spacing w:before="113"/>
      <w:ind w:left="737"/>
      <w:outlineLvl w:val="8"/>
    </w:pPr>
    <w:rPr>
      <w:rFonts w:eastAsia="Trebuchet MS" w:cs="Trebuchet MS"/>
      <w:color w:val="000000"/>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spacing w:before="57" w:after="113" w:line="288" w:lineRule="auto"/>
      <w:ind w:hanging="170"/>
    </w:pPr>
    <w:rPr>
      <w:rFonts w:ascii="Trebuchet MS" w:eastAsia="Trebuchet MS" w:hAnsi="Trebuchet MS" w:cs="Trebuchet MS"/>
      <w:lang w:bidi="fr-FR"/>
    </w:rPr>
  </w:style>
  <w:style w:type="paragraph" w:customStyle="1" w:styleId="Heading">
    <w:name w:val="Heading"/>
    <w:basedOn w:val="Standard"/>
    <w:next w:val="Textbody"/>
    <w:pPr>
      <w:jc w:val="center"/>
    </w:pPr>
    <w:rPr>
      <w:b/>
      <w:bCs/>
      <w:sz w:val="56"/>
      <w:szCs w:val="56"/>
    </w:rPr>
  </w:style>
  <w:style w:type="paragraph" w:customStyle="1" w:styleId="Textbody">
    <w:name w:val="Text body"/>
    <w:basedOn w:val="Standard"/>
    <w:pPr>
      <w:spacing w:before="0" w:after="0"/>
      <w:ind w:firstLine="340"/>
      <w:jc w:val="both"/>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ing10">
    <w:name w:val="Heading 10"/>
    <w:basedOn w:val="Heading"/>
    <w:next w:val="Textbody"/>
    <w:pPr>
      <w:spacing w:after="57"/>
      <w:ind w:left="680" w:firstLine="0"/>
    </w:pPr>
    <w:rPr>
      <w:color w:val="000000"/>
      <w:sz w:val="24"/>
    </w:rPr>
  </w:style>
  <w:style w:type="paragraph" w:customStyle="1" w:styleId="ListHeading">
    <w:name w:val="List Heading"/>
    <w:basedOn w:val="Standard"/>
    <w:next w:val="ListContents"/>
    <w:pPr>
      <w:spacing w:before="0" w:after="0"/>
      <w:ind w:firstLine="0"/>
    </w:pPr>
  </w:style>
  <w:style w:type="paragraph" w:customStyle="1" w:styleId="ListContents">
    <w:name w:val="List Contents"/>
    <w:basedOn w:val="Standard"/>
    <w:pPr>
      <w:spacing w:before="0" w:after="0"/>
      <w:ind w:left="567" w:firstLine="0"/>
    </w:pPr>
  </w:style>
  <w:style w:type="paragraph" w:customStyle="1" w:styleId="HeaderandFooter">
    <w:name w:val="Header and Footer"/>
    <w:basedOn w:val="Standard"/>
    <w:pPr>
      <w:suppressLineNumbers/>
      <w:tabs>
        <w:tab w:val="center" w:pos="4819"/>
        <w:tab w:val="right" w:pos="9638"/>
      </w:tabs>
    </w:pPr>
  </w:style>
  <w:style w:type="paragraph" w:styleId="Pieddepage">
    <w:name w:val="footer"/>
    <w:basedOn w:val="Standard"/>
    <w:pPr>
      <w:suppressLineNumbers/>
      <w:shd w:val="clear" w:color="auto" w:fill="FFFFFF"/>
      <w:tabs>
        <w:tab w:val="center" w:pos="4818"/>
        <w:tab w:val="right" w:pos="9637"/>
      </w:tabs>
    </w:pPr>
    <w:rPr>
      <w:rFonts w:ascii="Courier New" w:eastAsia="Courier New" w:hAnsi="Courier New" w:cs="Courier New"/>
      <w:i/>
      <w:color w:val="666666"/>
      <w:sz w:val="14"/>
    </w:rPr>
  </w:style>
  <w:style w:type="paragraph" w:customStyle="1" w:styleId="Footnote">
    <w:name w:val="Footnote"/>
    <w:basedOn w:val="Standard"/>
    <w:pPr>
      <w:suppressLineNumbers/>
      <w:spacing w:before="0" w:after="0"/>
      <w:ind w:left="283" w:hanging="283"/>
    </w:pPr>
    <w:rPr>
      <w:sz w:val="20"/>
      <w:szCs w:val="20"/>
    </w:rPr>
  </w:style>
  <w:style w:type="paragraph" w:customStyle="1" w:styleId="Endnote">
    <w:name w:val="Endnote"/>
    <w:basedOn w:val="Standard"/>
    <w:pPr>
      <w:suppressLineNumbers/>
      <w:spacing w:before="0" w:after="0"/>
      <w:ind w:left="283" w:hanging="283"/>
    </w:pPr>
    <w:rPr>
      <w:sz w:val="20"/>
      <w:szCs w:val="20"/>
    </w:rPr>
  </w:style>
  <w:style w:type="paragraph" w:customStyle="1" w:styleId="Text">
    <w:name w:val="Text"/>
    <w:basedOn w:val="Lgende"/>
  </w:style>
  <w:style w:type="paragraph" w:customStyle="1" w:styleId="List1">
    <w:name w:val="List 1"/>
    <w:pPr>
      <w:suppressAutoHyphens/>
      <w:spacing w:after="120"/>
      <w:ind w:left="360" w:hanging="360"/>
      <w:jc w:val="both"/>
    </w:pPr>
    <w:rPr>
      <w:color w:val="000000"/>
    </w:rPr>
  </w:style>
  <w:style w:type="paragraph" w:customStyle="1" w:styleId="List1Start">
    <w:name w:val="List 1 Start"/>
    <w:pPr>
      <w:suppressAutoHyphens/>
      <w:spacing w:before="240" w:after="120"/>
      <w:ind w:left="360" w:hanging="360"/>
      <w:jc w:val="both"/>
    </w:pPr>
    <w:rPr>
      <w:color w:val="000000"/>
    </w:rPr>
  </w:style>
  <w:style w:type="paragraph" w:customStyle="1" w:styleId="List1Cont">
    <w:name w:val="List 1 Cont."/>
    <w:pPr>
      <w:suppressAutoHyphens/>
      <w:spacing w:after="120"/>
      <w:ind w:left="360"/>
      <w:jc w:val="both"/>
    </w:pPr>
    <w:rPr>
      <w:color w:val="000000"/>
    </w:rPr>
  </w:style>
  <w:style w:type="paragraph" w:customStyle="1" w:styleId="List2End">
    <w:name w:val="List 2 End"/>
    <w:pPr>
      <w:suppressAutoHyphens/>
      <w:spacing w:after="240"/>
      <w:ind w:left="720" w:hanging="360"/>
      <w:jc w:val="both"/>
    </w:pPr>
    <w:rPr>
      <w:color w:val="000000"/>
    </w:rPr>
  </w:style>
  <w:style w:type="paragraph" w:styleId="Liste2">
    <w:name w:val="List 2"/>
    <w:pPr>
      <w:suppressAutoHyphens/>
      <w:spacing w:after="120"/>
      <w:ind w:left="720" w:hanging="360"/>
      <w:jc w:val="both"/>
    </w:pPr>
    <w:rPr>
      <w:color w:val="000000"/>
    </w:rPr>
  </w:style>
  <w:style w:type="paragraph" w:customStyle="1" w:styleId="List3Start">
    <w:name w:val="List 3 Start"/>
    <w:pPr>
      <w:suppressAutoHyphens/>
      <w:spacing w:before="240" w:after="120"/>
      <w:ind w:left="1080" w:hanging="360"/>
      <w:jc w:val="both"/>
    </w:pPr>
    <w:rPr>
      <w:color w:val="000000"/>
    </w:rPr>
  </w:style>
  <w:style w:type="paragraph" w:styleId="Liste3">
    <w:name w:val="List 3"/>
    <w:pPr>
      <w:suppressAutoHyphens/>
      <w:spacing w:after="120"/>
      <w:ind w:left="1080" w:hanging="360"/>
      <w:jc w:val="both"/>
    </w:pPr>
    <w:rPr>
      <w:color w:val="000000"/>
    </w:rPr>
  </w:style>
  <w:style w:type="paragraph" w:styleId="Liste4">
    <w:name w:val="List 4"/>
    <w:pPr>
      <w:suppressAutoHyphens/>
      <w:spacing w:after="120"/>
      <w:ind w:left="1440" w:hanging="360"/>
      <w:jc w:val="both"/>
    </w:pPr>
    <w:rPr>
      <w:color w:val="000000"/>
    </w:rPr>
  </w:style>
  <w:style w:type="paragraph" w:styleId="Liste5">
    <w:name w:val="List 5"/>
    <w:pPr>
      <w:suppressAutoHyphens/>
      <w:spacing w:after="120"/>
      <w:ind w:left="1800" w:hanging="360"/>
      <w:jc w:val="both"/>
    </w:pPr>
    <w:rPr>
      <w:color w:val="000000"/>
    </w:rPr>
  </w:style>
  <w:style w:type="paragraph" w:customStyle="1" w:styleId="Contents1">
    <w:name w:val="Contents 1"/>
    <w:basedOn w:val="Index"/>
    <w:pPr>
      <w:tabs>
        <w:tab w:val="right" w:leader="dot" w:pos="10772"/>
      </w:tabs>
      <w:spacing w:before="0" w:after="0" w:line="240" w:lineRule="auto"/>
      <w:ind w:firstLine="0"/>
      <w:outlineLvl w:val="0"/>
    </w:pPr>
    <w:rPr>
      <w:sz w:val="20"/>
    </w:rPr>
  </w:style>
  <w:style w:type="paragraph" w:customStyle="1" w:styleId="Numbering1">
    <w:name w:val="Numbering 1"/>
    <w:basedOn w:val="Liste"/>
    <w:pPr>
      <w:spacing w:after="120"/>
      <w:ind w:left="360" w:hanging="360"/>
    </w:pPr>
  </w:style>
  <w:style w:type="paragraph" w:customStyle="1" w:styleId="Numbering1End">
    <w:name w:val="Numbering 1 End"/>
    <w:basedOn w:val="Liste"/>
    <w:pPr>
      <w:spacing w:after="240"/>
      <w:ind w:left="360" w:hanging="360"/>
    </w:pPr>
  </w:style>
  <w:style w:type="paragraph" w:customStyle="1" w:styleId="Numbering2Start">
    <w:name w:val="Numbering 2 Start"/>
    <w:basedOn w:val="Liste"/>
    <w:pPr>
      <w:spacing w:before="240" w:after="120"/>
      <w:ind w:left="720" w:hanging="360"/>
    </w:pPr>
  </w:style>
  <w:style w:type="paragraph" w:customStyle="1" w:styleId="Numbering2">
    <w:name w:val="Numbering 2"/>
    <w:basedOn w:val="Liste"/>
    <w:pPr>
      <w:spacing w:after="120"/>
      <w:ind w:left="720" w:hanging="360"/>
    </w:pPr>
  </w:style>
  <w:style w:type="paragraph" w:customStyle="1" w:styleId="Numbering3Start">
    <w:name w:val="Numbering 3 Start"/>
    <w:basedOn w:val="Liste"/>
    <w:pPr>
      <w:spacing w:before="240" w:after="120"/>
      <w:ind w:left="1080" w:hanging="360"/>
    </w:pPr>
  </w:style>
  <w:style w:type="paragraph" w:customStyle="1" w:styleId="Numbering3">
    <w:name w:val="Numbering 3"/>
    <w:basedOn w:val="Liste"/>
    <w:pPr>
      <w:spacing w:after="120"/>
      <w:ind w:left="1080" w:hanging="360"/>
    </w:pPr>
  </w:style>
  <w:style w:type="paragraph" w:customStyle="1" w:styleId="TableContents">
    <w:name w:val="Table Contents"/>
    <w:basedOn w:val="Standard"/>
    <w:pPr>
      <w:suppressLineNumbers/>
    </w:pPr>
    <w:rPr>
      <w:rFonts w:ascii="Arial Narrow" w:eastAsia="Arial Narrow" w:hAnsi="Arial Narrow" w:cs="Arial Narrow"/>
      <w:sz w:val="20"/>
    </w:rPr>
  </w:style>
  <w:style w:type="paragraph" w:styleId="En-tte">
    <w:name w:val="header"/>
    <w:basedOn w:val="Standard"/>
    <w:pPr>
      <w:suppressLineNumbers/>
      <w:tabs>
        <w:tab w:val="center" w:pos="4818"/>
        <w:tab w:val="right" w:pos="9637"/>
      </w:tab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60-NoteBasDePage">
    <w:name w:val="60-NoteBasDePage"/>
    <w:basedOn w:val="Footnote"/>
    <w:rPr>
      <w:i/>
      <w:color w:val="4C4C4C"/>
      <w:sz w:val="14"/>
    </w:rPr>
  </w:style>
  <w:style w:type="paragraph" w:customStyle="1" w:styleId="Quotations">
    <w:name w:val="Quotations"/>
    <w:basedOn w:val="Standard"/>
    <w:pPr>
      <w:spacing w:before="0" w:after="283"/>
      <w:ind w:left="567" w:right="567" w:firstLine="0"/>
    </w:pPr>
  </w:style>
  <w:style w:type="paragraph" w:styleId="Sous-titre">
    <w:name w:val="Subtitle"/>
    <w:basedOn w:val="Heading"/>
    <w:next w:val="Textbody"/>
    <w:uiPriority w:val="11"/>
    <w:qFormat/>
    <w:pPr>
      <w:spacing w:before="60" w:after="0"/>
    </w:pPr>
    <w:rPr>
      <w:sz w:val="36"/>
      <w:szCs w:val="36"/>
    </w:rPr>
  </w:style>
  <w:style w:type="paragraph" w:customStyle="1" w:styleId="PreformattedText">
    <w:name w:val="Preformatted Text"/>
    <w:basedOn w:val="Standard"/>
    <w:pPr>
      <w:spacing w:before="0" w:after="0"/>
    </w:pPr>
    <w:rPr>
      <w:rFonts w:ascii="Liberation Mono" w:eastAsia="Liberation Mono" w:hAnsi="Liberation Mono" w:cs="Liberation Mono"/>
      <w:sz w:val="20"/>
      <w:szCs w:val="20"/>
    </w:rPr>
  </w:style>
  <w:style w:type="paragraph" w:styleId="Titreindex">
    <w:name w:val="index heading"/>
    <w:basedOn w:val="Heading"/>
    <w:pPr>
      <w:suppressLineNumbers/>
      <w:ind w:firstLine="0"/>
    </w:pPr>
    <w:rPr>
      <w:sz w:val="32"/>
      <w:szCs w:val="32"/>
    </w:rPr>
  </w:style>
  <w:style w:type="paragraph" w:customStyle="1" w:styleId="ContentsHeading">
    <w:name w:val="Contents Heading"/>
    <w:basedOn w:val="Titreindex"/>
  </w:style>
  <w:style w:type="paragraph" w:customStyle="1" w:styleId="Contents5">
    <w:name w:val="Contents 5"/>
    <w:basedOn w:val="Index"/>
    <w:pPr>
      <w:tabs>
        <w:tab w:val="right" w:leader="dot" w:pos="11906"/>
      </w:tabs>
      <w:spacing w:before="0" w:after="57" w:line="240" w:lineRule="auto"/>
      <w:ind w:left="1134" w:firstLine="0"/>
      <w:outlineLvl w:val="4"/>
    </w:pPr>
    <w:rPr>
      <w:color w:val="000000"/>
    </w:rPr>
  </w:style>
  <w:style w:type="paragraph" w:customStyle="1" w:styleId="Contents2">
    <w:name w:val="Contents 2"/>
    <w:basedOn w:val="Index"/>
    <w:pPr>
      <w:tabs>
        <w:tab w:val="right" w:leader="dot" w:pos="10772"/>
      </w:tabs>
      <w:spacing w:before="0" w:after="0" w:line="240" w:lineRule="auto"/>
      <w:ind w:firstLine="170"/>
      <w:outlineLvl w:val="1"/>
    </w:pPr>
    <w:rPr>
      <w:sz w:val="20"/>
    </w:rPr>
  </w:style>
  <w:style w:type="paragraph" w:customStyle="1" w:styleId="Contents3">
    <w:name w:val="Contents 3"/>
    <w:basedOn w:val="Index"/>
    <w:pPr>
      <w:tabs>
        <w:tab w:val="right" w:leader="dot" w:pos="11339"/>
      </w:tabs>
      <w:spacing w:before="0" w:after="57" w:line="240" w:lineRule="auto"/>
      <w:ind w:left="567" w:firstLine="0"/>
      <w:outlineLvl w:val="2"/>
    </w:pPr>
    <w:rPr>
      <w:color w:val="0000FF"/>
    </w:rPr>
  </w:style>
  <w:style w:type="paragraph" w:customStyle="1" w:styleId="Contents10">
    <w:name w:val="Contents 10"/>
    <w:basedOn w:val="Index"/>
    <w:pPr>
      <w:tabs>
        <w:tab w:val="right" w:leader="dot" w:pos="13607"/>
      </w:tabs>
      <w:spacing w:before="0" w:after="57" w:line="240" w:lineRule="auto"/>
      <w:ind w:left="2835" w:firstLine="0"/>
    </w:pPr>
    <w:rPr>
      <w:b/>
      <w:color w:val="7D4D62"/>
      <w:sz w:val="16"/>
    </w:rPr>
  </w:style>
  <w:style w:type="paragraph" w:customStyle="1" w:styleId="Contents4">
    <w:name w:val="Contents 4"/>
    <w:basedOn w:val="Index"/>
    <w:pPr>
      <w:tabs>
        <w:tab w:val="right" w:leader="dot" w:pos="9638"/>
      </w:tabs>
      <w:spacing w:before="0" w:after="57" w:line="240" w:lineRule="auto"/>
      <w:ind w:left="850" w:firstLine="0"/>
      <w:outlineLvl w:val="3"/>
    </w:pPr>
    <w:rPr>
      <w:color w:val="0000FF"/>
    </w:rPr>
  </w:style>
  <w:style w:type="paragraph" w:customStyle="1" w:styleId="Contents9">
    <w:name w:val="Contents 9"/>
    <w:basedOn w:val="Index"/>
    <w:pPr>
      <w:tabs>
        <w:tab w:val="right" w:leader="dot" w:pos="7937"/>
      </w:tabs>
      <w:spacing w:before="0" w:after="57" w:line="240" w:lineRule="auto"/>
      <w:ind w:left="567" w:firstLine="0"/>
      <w:outlineLvl w:val="8"/>
    </w:pPr>
    <w:rPr>
      <w:color w:val="000000"/>
      <w:sz w:val="18"/>
    </w:rPr>
  </w:style>
  <w:style w:type="paragraph" w:customStyle="1" w:styleId="paragraph">
    <w:name w:val="paragraph"/>
    <w:basedOn w:val="Standard"/>
    <w:pPr>
      <w:spacing w:before="100" w:after="100" w:line="240" w:lineRule="auto"/>
    </w:pPr>
  </w:style>
  <w:style w:type="paragraph" w:customStyle="1" w:styleId="AdTInterventionTabledesmatires">
    <w:name w:val="AdT Intervention Table des matières"/>
    <w:basedOn w:val="Contents10"/>
    <w:rPr>
      <w:color w:val="791F45"/>
    </w:rPr>
  </w:style>
  <w:style w:type="paragraph" w:customStyle="1" w:styleId="Explication-Noteinterne">
    <w:name w:val="Explication - Note interne"/>
    <w:basedOn w:val="Textbody"/>
    <w:pPr>
      <w:suppressAutoHyphens w:val="0"/>
      <w:spacing w:before="57"/>
      <w:ind w:firstLine="737"/>
    </w:pPr>
    <w:rPr>
      <w:rFonts w:ascii="Lobster" w:eastAsia="Lobster" w:hAnsi="Lobster" w:cs="Lobster"/>
      <w:color w:val="D2691E"/>
    </w:rPr>
  </w:style>
  <w:style w:type="paragraph" w:customStyle="1" w:styleId="Hangingindent">
    <w:name w:val="Hanging indent"/>
    <w:basedOn w:val="Textbody"/>
    <w:pPr>
      <w:tabs>
        <w:tab w:val="left" w:pos="567"/>
      </w:tabs>
      <w:ind w:left="567" w:hanging="283"/>
    </w:pPr>
  </w:style>
  <w:style w:type="paragraph" w:customStyle="1" w:styleId="Contents6">
    <w:name w:val="Contents 6"/>
    <w:basedOn w:val="Index"/>
    <w:pPr>
      <w:tabs>
        <w:tab w:val="right" w:leader="dot" w:pos="9638"/>
      </w:tabs>
      <w:spacing w:before="0" w:after="57" w:line="240" w:lineRule="auto"/>
      <w:ind w:left="1417" w:firstLine="0"/>
      <w:outlineLvl w:val="5"/>
    </w:pPr>
    <w:rPr>
      <w:color w:val="000000"/>
    </w:rPr>
  </w:style>
  <w:style w:type="paragraph" w:customStyle="1" w:styleId="Contents7">
    <w:name w:val="Contents 7"/>
    <w:basedOn w:val="Index"/>
    <w:pPr>
      <w:tabs>
        <w:tab w:val="right" w:leader="dot" w:pos="12473"/>
      </w:tabs>
      <w:spacing w:before="0" w:after="57" w:line="240" w:lineRule="auto"/>
      <w:ind w:left="1701" w:firstLine="0"/>
      <w:outlineLvl w:val="6"/>
    </w:pPr>
    <w:rPr>
      <w:color w:val="008000"/>
      <w:sz w:val="22"/>
    </w:rPr>
  </w:style>
  <w:style w:type="paragraph" w:customStyle="1" w:styleId="Contents8">
    <w:name w:val="Contents 8"/>
    <w:basedOn w:val="Index"/>
    <w:pPr>
      <w:tabs>
        <w:tab w:val="right" w:leader="dot" w:pos="9638"/>
      </w:tabs>
      <w:spacing w:before="0" w:after="57" w:line="240" w:lineRule="auto"/>
      <w:ind w:left="1984" w:firstLine="0"/>
    </w:pPr>
    <w:rPr>
      <w:color w:val="008000"/>
      <w:sz w:val="20"/>
    </w:rPr>
  </w:style>
  <w:style w:type="paragraph" w:customStyle="1" w:styleId="AdTtitreIntervention">
    <w:name w:val="AdT titre Intervention"/>
    <w:basedOn w:val="Standard"/>
    <w:pPr>
      <w:ind w:firstLine="567"/>
    </w:pPr>
    <w:rPr>
      <w:b/>
      <w:color w:val="7D4D62"/>
    </w:rPr>
  </w:style>
  <w:style w:type="paragraph" w:customStyle="1" w:styleId="AdTIntervention">
    <w:name w:val="AdT Intervention"/>
    <w:basedOn w:val="AdTtitreIntervention"/>
    <w:pPr>
      <w:spacing w:before="0" w:after="57"/>
      <w:ind w:left="170" w:firstLine="340"/>
    </w:pPr>
  </w:style>
  <w:style w:type="paragraph" w:customStyle="1" w:styleId="TabledesmatiresADT">
    <w:name w:val="Table des matières ADT"/>
    <w:basedOn w:val="Index"/>
    <w:next w:val="Contents8"/>
    <w:pPr>
      <w:tabs>
        <w:tab w:val="right" w:leader="dot" w:pos="9355"/>
      </w:tabs>
      <w:ind w:left="1701" w:firstLine="0"/>
      <w:outlineLvl w:val="7"/>
    </w:pPr>
    <w:rPr>
      <w:b/>
      <w:color w:val="7D4D62"/>
      <w:sz w:val="18"/>
    </w:rPr>
  </w:style>
  <w:style w:type="paragraph" w:customStyle="1" w:styleId="Rsum">
    <w:name w:val="Résumé"/>
    <w:basedOn w:val="Standard"/>
    <w:pPr>
      <w:widowControl/>
      <w:shd w:val="clear" w:color="auto" w:fill="EEE0D1"/>
      <w:tabs>
        <w:tab w:val="left" w:pos="1134"/>
        <w:tab w:val="left" w:pos="2268"/>
        <w:tab w:val="left" w:pos="3402"/>
        <w:tab w:val="left" w:pos="4535"/>
        <w:tab w:val="left" w:pos="5669"/>
        <w:tab w:val="left" w:pos="6803"/>
        <w:tab w:val="left" w:pos="7937"/>
      </w:tabs>
      <w:snapToGrid w:val="0"/>
      <w:spacing w:before="0" w:after="57"/>
    </w:pPr>
    <w:rPr>
      <w:color w:val="83C04A"/>
    </w:rPr>
  </w:style>
  <w:style w:type="paragraph" w:customStyle="1" w:styleId="Figure">
    <w:name w:val="Figure"/>
    <w:basedOn w:val="Lgende"/>
  </w:style>
  <w:style w:type="paragraph" w:customStyle="1" w:styleId="NormalTableWW">
    <w:name w:val="Normal Table (WW)"/>
    <w:pPr>
      <w:widowControl/>
      <w:suppressAutoHyphens/>
      <w:spacing w:after="160" w:line="251" w:lineRule="auto"/>
      <w:textAlignment w:val="auto"/>
    </w:pPr>
    <w:rPr>
      <w:rFonts w:ascii="Calibri" w:eastAsia="Calibri" w:hAnsi="Calibri" w:cs="Times New Roman"/>
      <w:sz w:val="22"/>
      <w:szCs w:val="22"/>
      <w:lang w:eastAsia="en-US"/>
    </w:rPr>
  </w:style>
  <w:style w:type="paragraph" w:customStyle="1" w:styleId="Textbodyuser">
    <w:name w:val="Text body (user)"/>
    <w:basedOn w:val="Standard"/>
    <w:pPr>
      <w:spacing w:before="0" w:after="0"/>
    </w:pPr>
  </w:style>
  <w:style w:type="paragraph" w:customStyle="1" w:styleId="UserIndex8">
    <w:name w:val="User Index 8"/>
    <w:basedOn w:val="Index"/>
    <w:pPr>
      <w:shd w:val="clear" w:color="auto" w:fill="F0F8EA"/>
      <w:tabs>
        <w:tab w:val="right" w:leader="dot" w:pos="9638"/>
      </w:tabs>
      <w:ind w:left="1984" w:firstLine="0"/>
    </w:pPr>
  </w:style>
  <w:style w:type="paragraph" w:customStyle="1" w:styleId="StandardWW">
    <w:name w:val="Standard (WW)"/>
    <w:pPr>
      <w:suppressAutoHyphens/>
      <w:spacing w:before="57"/>
      <w:ind w:firstLine="737"/>
      <w:jc w:val="both"/>
    </w:pPr>
    <w:rPr>
      <w:rFonts w:ascii="Arial" w:eastAsia="Arial" w:hAnsi="Arial" w:cs="Arial"/>
      <w:sz w:val="22"/>
    </w:rPr>
  </w:style>
  <w:style w:type="paragraph" w:styleId="Paragraphedeliste">
    <w:name w:val="List Paragraph"/>
    <w:basedOn w:val="Standard"/>
    <w:uiPriority w:val="34"/>
    <w:qFormat/>
    <w:pPr>
      <w:ind w:left="720"/>
      <w:contextualSpacing/>
    </w:pPr>
  </w:style>
  <w:style w:type="paragraph" w:customStyle="1" w:styleId="Default">
    <w:name w:val="Default"/>
    <w:pPr>
      <w:suppressAutoHyphens/>
    </w:pPr>
    <w:rPr>
      <w:rFonts w:ascii="Arial" w:eastAsia="Arial" w:hAnsi="Arial" w:cs="Arial"/>
      <w:color w:val="000000"/>
    </w:rPr>
  </w:style>
  <w:style w:type="paragraph" w:customStyle="1" w:styleId="Appendix">
    <w:name w:val="Appendix"/>
    <w:basedOn w:val="Heading"/>
    <w:next w:val="Textbody"/>
    <w:pPr>
      <w:outlineLvl w:val="0"/>
    </w:pPr>
    <w:rPr>
      <w:sz w:val="32"/>
      <w:szCs w:val="32"/>
    </w:rPr>
  </w:style>
  <w:style w:type="paragraph" w:customStyle="1" w:styleId="TitreRponseAdministration">
    <w:name w:val="Titre_Réponse_Administration"/>
    <w:basedOn w:val="Titre7"/>
    <w:next w:val="RponseAdministration"/>
  </w:style>
  <w:style w:type="paragraph" w:customStyle="1" w:styleId="RponseAdministration">
    <w:name w:val="Réponse_Administration"/>
    <w:basedOn w:val="Standard"/>
    <w:pPr>
      <w:ind w:firstLine="340"/>
    </w:pPr>
  </w:style>
  <w:style w:type="paragraph" w:customStyle="1" w:styleId="AppendixWW">
    <w:name w:val="Appendix (WW)"/>
    <w:pPr>
      <w:keepNext/>
      <w:suppressAutoHyphens/>
      <w:spacing w:before="240" w:after="120"/>
      <w:ind w:hanging="170"/>
      <w:jc w:val="center"/>
    </w:pPr>
    <w:rPr>
      <w:rFonts w:ascii="Arial" w:eastAsia="Arial" w:hAnsi="Arial" w:cs="Arial"/>
      <w:b/>
      <w:color w:val="000000"/>
      <w:sz w:val="32"/>
    </w:rPr>
  </w:style>
  <w:style w:type="paragraph" w:customStyle="1" w:styleId="StandardWWWW">
    <w:name w:val="Standard (WW) (WW)"/>
    <w:pPr>
      <w:suppressAutoHyphens/>
      <w:spacing w:before="57"/>
      <w:ind w:firstLine="737"/>
      <w:jc w:val="both"/>
    </w:pPr>
    <w:rPr>
      <w:rFonts w:ascii="Arial" w:eastAsia="Arial" w:hAnsi="Arial" w:cs="Liberation Serif"/>
      <w:sz w:val="22"/>
    </w:rPr>
  </w:style>
  <w:style w:type="paragraph" w:customStyle="1" w:styleId="TextbodyWW">
    <w:name w:val="Text body (WW)"/>
    <w:basedOn w:val="Standard"/>
    <w:pPr>
      <w:spacing w:before="0" w:after="0"/>
    </w:pPr>
    <w:rPr>
      <w:color w:val="000000"/>
    </w:rPr>
  </w:style>
  <w:style w:type="paragraph" w:customStyle="1" w:styleId="NormalTableWWWW">
    <w:name w:val="Normal Table (WW) (WW)"/>
    <w:pPr>
      <w:widowControl/>
      <w:suppressAutoHyphens/>
      <w:spacing w:after="160" w:line="249" w:lineRule="auto"/>
      <w:textAlignment w:val="auto"/>
    </w:pPr>
    <w:rPr>
      <w:rFonts w:ascii="Calibri" w:eastAsia="Times New Roman" w:hAnsi="Calibri" w:cs="Liberation Serif"/>
      <w:sz w:val="22"/>
      <w:lang w:eastAsia="ar-SA"/>
    </w:rPr>
  </w:style>
  <w:style w:type="paragraph" w:customStyle="1" w:styleId="LO-Normal">
    <w:name w:val="LO-Normal"/>
    <w:pPr>
      <w:suppressAutoHyphens/>
    </w:pPr>
    <w:rPr>
      <w:rFonts w:eastAsia="Tahoma" w:cs="Liberation Serif"/>
      <w:lang w:eastAsia="ar-SA" w:bidi="fr-FR"/>
    </w:rPr>
  </w:style>
  <w:style w:type="paragraph" w:styleId="Titre">
    <w:name w:val="Title"/>
    <w:basedOn w:val="Heading"/>
    <w:next w:val="Textbody"/>
    <w:uiPriority w:val="10"/>
    <w:qFormat/>
  </w:style>
  <w:style w:type="paragraph" w:customStyle="1" w:styleId="HorizontalLine">
    <w:name w:val="Horizontal Line"/>
    <w:basedOn w:val="Standard"/>
    <w:next w:val="Textbody"/>
    <w:pPr>
      <w:suppressLineNumbers/>
      <w:spacing w:after="283"/>
    </w:pPr>
    <w:rPr>
      <w:sz w:val="12"/>
      <w:szCs w:val="12"/>
    </w:rPr>
  </w:style>
  <w:style w:type="paragraph" w:styleId="Sansinterligne">
    <w:name w:val="No Spacing"/>
    <w:pPr>
      <w:widowControl/>
      <w:suppressAutoHyphens/>
      <w:textAlignment w:val="auto"/>
    </w:pPr>
    <w:rPr>
      <w:rFonts w:ascii="Calibri" w:eastAsia="Calibri" w:hAnsi="Calibri" w:cs="Times New Roman"/>
      <w:sz w:val="22"/>
      <w:szCs w:val="22"/>
      <w:lang w:eastAsia="en-US"/>
    </w:rPr>
  </w:style>
  <w:style w:type="character" w:customStyle="1" w:styleId="NumberingSymbols">
    <w:name w:val="Numbering Symbols"/>
  </w:style>
  <w:style w:type="character" w:customStyle="1" w:styleId="BulletSymbols">
    <w:name w:val="Bullet Symbols"/>
    <w:rPr>
      <w:rFonts w:ascii="OpenSymbol" w:eastAsia="OpenSymbol" w:hAnsi="OpenSymbol" w:cs="OpenSymbol"/>
      <w:color w:val="000000"/>
    </w:rPr>
  </w:style>
  <w:style w:type="character" w:customStyle="1" w:styleId="FootnoteSymbol">
    <w:name w:val="Footnote Symbol"/>
  </w:style>
  <w:style w:type="character" w:customStyle="1" w:styleId="EndnoteSymbol">
    <w:name w:val="Endnote Symbol"/>
  </w:style>
  <w:style w:type="character" w:customStyle="1" w:styleId="Internetlink">
    <w:name w:val="Internet link"/>
    <w:rPr>
      <w:rFonts w:ascii="Arial Narrow" w:eastAsia="Arial Narrow" w:hAnsi="Arial Narrow" w:cs="Arial Narrow"/>
      <w:color w:val="84BF4A"/>
      <w:sz w:val="18"/>
      <w:u w:val="single"/>
    </w:rPr>
  </w:style>
  <w:style w:type="character" w:customStyle="1" w:styleId="VisitedInternetLink">
    <w:name w:val="Visited Internet Link"/>
    <w:rPr>
      <w:rFonts w:ascii="Arial Narrow" w:eastAsia="Arial Narrow" w:hAnsi="Arial Narrow" w:cs="Arial Narrow"/>
      <w:b/>
      <w:i/>
      <w:color w:val="A35C7F"/>
      <w:sz w:val="16"/>
      <w:u w:val="single"/>
    </w:rPr>
  </w:style>
  <w:style w:type="character" w:styleId="Accentuation">
    <w:name w:val="Emphasis"/>
    <w:rPr>
      <w:i/>
      <w:iCs/>
    </w:rPr>
  </w:style>
  <w:style w:type="character" w:customStyle="1" w:styleId="StrongEmphasis">
    <w:name w:val="Strong Emphasis"/>
    <w:rPr>
      <w:b/>
      <w:bCs/>
    </w:rPr>
  </w:style>
  <w:style w:type="character" w:customStyle="1" w:styleId="Footnoteanchor">
    <w:name w:val="Footnote anchor"/>
    <w:rPr>
      <w:position w:val="0"/>
      <w:vertAlign w:val="superscript"/>
    </w:rPr>
  </w:style>
  <w:style w:type="character" w:customStyle="1" w:styleId="Definition">
    <w:name w:val="Definition"/>
  </w:style>
  <w:style w:type="character" w:customStyle="1" w:styleId="DropCaps">
    <w:name w:val="Drop Caps"/>
  </w:style>
  <w:style w:type="character" w:customStyle="1" w:styleId="21-TitreAlerte">
    <w:name w:val="21-TitreAlerte"/>
    <w:rPr>
      <w:rFonts w:ascii="Arial" w:eastAsia="Arial" w:hAnsi="Arial" w:cs="Arial"/>
      <w:b/>
      <w:i w:val="0"/>
      <w:smallCaps/>
      <w:color w:val="666666"/>
      <w:sz w:val="24"/>
      <w:szCs w:val="24"/>
      <w:shd w:val="clear" w:color="auto" w:fill="auto"/>
    </w:rPr>
  </w:style>
  <w:style w:type="character" w:customStyle="1" w:styleId="22-TitreSuite">
    <w:name w:val="22-TitreSuite"/>
    <w:rPr>
      <w:rFonts w:ascii="Arial" w:eastAsia="Arial" w:hAnsi="Arial" w:cs="Arial"/>
      <w:b/>
      <w:i w:val="0"/>
      <w:color w:val="000000"/>
      <w:sz w:val="20"/>
      <w:shd w:val="clear" w:color="auto" w:fill="auto"/>
    </w:rPr>
  </w:style>
  <w:style w:type="character" w:customStyle="1" w:styleId="12-Legende">
    <w:name w:val="12-Legende"/>
    <w:rPr>
      <w:rFonts w:ascii="Arial Narrow" w:eastAsia="Arial Narrow" w:hAnsi="Arial Narrow" w:cs="Arial Narrow"/>
      <w:b w:val="0"/>
      <w:i w:val="0"/>
      <w:color w:val="666666"/>
      <w:sz w:val="18"/>
      <w:shd w:val="clear" w:color="auto" w:fill="auto"/>
    </w:rPr>
  </w:style>
  <w:style w:type="character" w:customStyle="1" w:styleId="01-TexteEnValeurBlanc">
    <w:name w:val="01-TexteEnValeurBlanc"/>
    <w:basedOn w:val="00-TexteEnValeur"/>
    <w:rPr>
      <w:rFonts w:ascii="Arial" w:eastAsia="Arial" w:hAnsi="Arial" w:cs="Arial"/>
      <w:b/>
      <w:i w:val="0"/>
      <w:caps w:val="0"/>
      <w:smallCaps w:val="0"/>
      <w:color w:val="FFFFFF"/>
      <w:sz w:val="18"/>
      <w:shd w:val="clear" w:color="auto" w:fill="auto"/>
    </w:rPr>
  </w:style>
  <w:style w:type="character" w:customStyle="1" w:styleId="30-NoteBasDePageAppel">
    <w:name w:val="30-NoteBasDePageAppel"/>
    <w:rPr>
      <w:rFonts w:ascii="Arial Black" w:eastAsia="Arial Black" w:hAnsi="Arial Black" w:cs="Arial Black"/>
      <w:b/>
      <w:i w:val="0"/>
      <w:color w:val="84BF4A"/>
      <w:position w:val="0"/>
      <w:sz w:val="20"/>
      <w:szCs w:val="20"/>
      <w:u w:val="none"/>
      <w:shd w:val="clear" w:color="auto" w:fill="auto"/>
      <w:vertAlign w:val="baseline"/>
    </w:rPr>
  </w:style>
  <w:style w:type="character" w:customStyle="1" w:styleId="31-NoteBasDePageNoteNumro">
    <w:name w:val="31-NoteBasDePageNoteNuméro"/>
    <w:rPr>
      <w:rFonts w:ascii="Arial Black" w:eastAsia="Arial Black" w:hAnsi="Arial Black" w:cs="Arial Black"/>
      <w:b/>
      <w:i w:val="0"/>
      <w:color w:val="84BF4A"/>
      <w:sz w:val="18"/>
      <w:u w:val="none"/>
      <w:shd w:val="clear" w:color="auto" w:fill="auto"/>
    </w:rPr>
  </w:style>
  <w:style w:type="character" w:customStyle="1" w:styleId="02-TexteEnValeurCouleurVive">
    <w:name w:val="02-TexteEnValeurCouleurVive"/>
    <w:basedOn w:val="00-TexteEnValeur"/>
    <w:rPr>
      <w:rFonts w:ascii="Arial" w:eastAsia="Arial" w:hAnsi="Arial" w:cs="Arial"/>
      <w:b/>
      <w:i w:val="0"/>
      <w:color w:val="791F45"/>
      <w:sz w:val="20"/>
      <w:shd w:val="clear" w:color="auto" w:fill="auto"/>
    </w:rPr>
  </w:style>
  <w:style w:type="character" w:customStyle="1" w:styleId="03-TexteEnValeurCouleurTerne">
    <w:name w:val="03-TexteEnValeurCouleurTerne"/>
    <w:basedOn w:val="00-TexteEnValeur"/>
    <w:rPr>
      <w:rFonts w:ascii="Arial" w:eastAsia="Arial" w:hAnsi="Arial" w:cs="Arial"/>
      <w:b/>
      <w:i w:val="0"/>
      <w:color w:val="84BF4A"/>
      <w:sz w:val="20"/>
      <w:shd w:val="clear" w:color="auto" w:fill="auto"/>
    </w:rPr>
  </w:style>
  <w:style w:type="character" w:customStyle="1" w:styleId="00-TexteEnValeur">
    <w:name w:val="00-TexteEnValeur"/>
    <w:rPr>
      <w:rFonts w:ascii="Arial" w:eastAsia="Arial" w:hAnsi="Arial" w:cs="Arial"/>
      <w:b/>
      <w:color w:val="000000"/>
      <w:sz w:val="20"/>
      <w:shd w:val="clear" w:color="auto" w:fill="auto"/>
    </w:rPr>
  </w:style>
  <w:style w:type="character" w:customStyle="1" w:styleId="35-NoteFinDocumentAppel">
    <w:name w:val="35-NoteFinDocumentAppel"/>
    <w:basedOn w:val="31-NoteBasDePageNoteNumro"/>
    <w:rPr>
      <w:rFonts w:ascii="Arial Black" w:eastAsia="Arial Black" w:hAnsi="Arial Black" w:cs="Arial Black"/>
      <w:b/>
      <w:i w:val="0"/>
      <w:color w:val="791F45"/>
      <w:position w:val="0"/>
      <w:sz w:val="12"/>
      <w:u w:val="thick"/>
      <w:shd w:val="clear" w:color="auto" w:fill="auto"/>
      <w:vertAlign w:val="baseline"/>
    </w:rPr>
  </w:style>
  <w:style w:type="character" w:customStyle="1" w:styleId="36-NoteFinDocumentNumro">
    <w:name w:val="36-NoteFinDocumentNuméro"/>
    <w:rPr>
      <w:rFonts w:ascii="Arial Black" w:eastAsia="Arial Black" w:hAnsi="Arial Black" w:cs="Arial Black"/>
      <w:b/>
      <w:i w:val="0"/>
      <w:color w:val="791F45"/>
      <w:sz w:val="20"/>
      <w:szCs w:val="20"/>
      <w:shd w:val="clear" w:color="auto" w:fill="auto"/>
    </w:rPr>
  </w:style>
  <w:style w:type="character" w:customStyle="1" w:styleId="Endnoteanchor">
    <w:name w:val="Endnote anchor"/>
    <w:rPr>
      <w:position w:val="0"/>
      <w:vertAlign w:val="superscript"/>
    </w:rPr>
  </w:style>
  <w:style w:type="character" w:customStyle="1" w:styleId="ListLabel1">
    <w:name w:val="ListLabel 1"/>
    <w:rPr>
      <w:rFonts w:cs="Courier New"/>
    </w:rPr>
  </w:style>
  <w:style w:type="character" w:customStyle="1" w:styleId="ListLabel2">
    <w:name w:val="ListLabel 2"/>
    <w:rPr>
      <w:rFonts w:eastAsia="Calibri" w:cs="Tahoma"/>
    </w:rPr>
  </w:style>
  <w:style w:type="character" w:customStyle="1" w:styleId="WW8Num1z0">
    <w:name w:val="WW8Num1z0"/>
    <w:rPr>
      <w:rFonts w:ascii="Symbol" w:eastAsia="Symbol" w:hAnsi="Symbol" w:cs="Symbol"/>
      <w:sz w:val="20"/>
    </w:rPr>
  </w:style>
  <w:style w:type="character" w:customStyle="1" w:styleId="WW8Num1z1">
    <w:name w:val="WW8Num1z1"/>
    <w:rPr>
      <w:rFonts w:ascii="Courier New" w:eastAsia="Courier New" w:hAnsi="Courier New" w:cs="Courier New"/>
      <w:sz w:val="20"/>
    </w:rPr>
  </w:style>
  <w:style w:type="character" w:customStyle="1" w:styleId="WW8Num1z2">
    <w:name w:val="WW8Num1z2"/>
    <w:rPr>
      <w:rFonts w:ascii="Wingdings" w:eastAsia="Wingdings" w:hAnsi="Wingdings" w:cs="Wingdings"/>
      <w:sz w:val="20"/>
    </w:rPr>
  </w:style>
  <w:style w:type="character" w:customStyle="1" w:styleId="s1">
    <w:name w:val="s1"/>
    <w:basedOn w:val="Policepardfaut"/>
    <w:rPr>
      <w:rFonts w:ascii=".SFUIText" w:eastAsia=".SFUIText" w:hAnsi=".SFUIText" w:cs=".SFUIText"/>
      <w:b w:val="0"/>
      <w:bCs w:val="0"/>
      <w:i w:val="0"/>
      <w:iCs w:val="0"/>
      <w:sz w:val="34"/>
      <w:szCs w:val="34"/>
    </w:rPr>
  </w:style>
  <w:style w:type="character" w:customStyle="1" w:styleId="apple-converted-space">
    <w:name w:val="apple-converted-space"/>
    <w:basedOn w:val="Policepardfaut"/>
  </w:style>
  <w:style w:type="character" w:customStyle="1" w:styleId="A4">
    <w:name w:val="A4"/>
    <w:rPr>
      <w:rFonts w:ascii="Open Sans Condensed Light" w:eastAsia="Open Sans Condensed Light" w:hAnsi="Open Sans Condensed Light" w:cs="Open Sans Condensed Light"/>
      <w:color w:val="000000"/>
      <w:sz w:val="21"/>
    </w:rPr>
  </w:style>
  <w:style w:type="character" w:customStyle="1" w:styleId="A410">
    <w:name w:val="A4_10"/>
    <w:rPr>
      <w:rFonts w:ascii="Marianne Light" w:eastAsia="Marianne Light" w:hAnsi="Marianne Light" w:cs="Marianne Light"/>
      <w:color w:val="000000"/>
      <w:sz w:val="26"/>
    </w:rPr>
  </w:style>
  <w:style w:type="character" w:customStyle="1" w:styleId="Linenumbering">
    <w:name w:val="Line numbering"/>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IndexLink">
    <w:name w:val="Index Link"/>
  </w:style>
  <w:style w:type="character" w:customStyle="1" w:styleId="normaltextrun">
    <w:name w:val="normaltextrun"/>
    <w:basedOn w:val="Policepardfaut"/>
    <w:rPr>
      <w:rFonts w:ascii="Times New Roman" w:eastAsia="Times New Roman" w:hAnsi="Times New Roman" w:cs="Times New Roman"/>
      <w:sz w:val="24"/>
      <w:szCs w:val="24"/>
    </w:rPr>
  </w:style>
  <w:style w:type="character" w:customStyle="1" w:styleId="ListLabel21">
    <w:name w:val="ListLabel 21"/>
    <w:rPr>
      <w:rFonts w:eastAsia="Calibri"/>
    </w:rPr>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style>
  <w:style w:type="character" w:customStyle="1" w:styleId="DefaultParagraphFontWW">
    <w:name w:val="Default Paragraph Font (WW)"/>
  </w:style>
  <w:style w:type="character" w:styleId="Marquedecommentaire">
    <w:name w:val="annotation reference"/>
    <w:rPr>
      <w:sz w:val="16"/>
      <w:szCs w:val="16"/>
    </w:rPr>
  </w:style>
  <w:style w:type="character" w:customStyle="1" w:styleId="ListLabel30">
    <w:name w:val="ListLabel 30"/>
  </w:style>
  <w:style w:type="character" w:customStyle="1" w:styleId="DefaultParagraphFontWWWW">
    <w:name w:val="Default Paragraph Font (WW) (WW)"/>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hgkelc">
    <w:name w:val="hgkelc"/>
    <w:basedOn w:val="Policepardfaut"/>
    <w:rsid w:val="00B27FA9"/>
  </w:style>
  <w:style w:type="character" w:customStyle="1" w:styleId="Titre1Car">
    <w:name w:val="Titre 1 Car"/>
    <w:basedOn w:val="Policepardfaut"/>
    <w:uiPriority w:val="9"/>
    <w:rPr>
      <w:rFonts w:eastAsia="Times New Roman" w:cs="0"/>
      <w:b/>
      <w:bCs/>
      <w:color w:val="FFFFFF"/>
      <w:sz w:val="28"/>
      <w:szCs w:val="28"/>
      <w:shd w:val="clear" w:color="auto" w:fill="791F45"/>
    </w:rPr>
  </w:style>
  <w:style w:type="character" w:customStyle="1" w:styleId="NotedebasdepageCar">
    <w:name w:val="Note de bas de page Car"/>
    <w:basedOn w:val="DefaultParagraphFontWW"/>
    <w:rPr>
      <w:rFonts w:ascii="Times New Roman" w:eastAsia="Times New Roman" w:hAnsi="Times New Roman" w:cs="Times New Roman"/>
      <w:sz w:val="20"/>
      <w:szCs w:val="20"/>
      <w:lang w:eastAsia="fr-FR"/>
    </w:rPr>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rPr>
      <w:rFonts w:eastAsia="Calibri"/>
    </w:rPr>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numbering" w:customStyle="1" w:styleId="Liste21">
    <w:name w:val="Liste 21"/>
    <w:basedOn w:val="Aucuneliste"/>
    <w:pPr>
      <w:numPr>
        <w:numId w:val="1"/>
      </w:numPr>
    </w:pPr>
  </w:style>
  <w:style w:type="numbering" w:customStyle="1" w:styleId="Liste31">
    <w:name w:val="Liste 31"/>
    <w:basedOn w:val="Aucuneliste"/>
    <w:pPr>
      <w:numPr>
        <w:numId w:val="2"/>
      </w:numPr>
    </w:pPr>
  </w:style>
  <w:style w:type="numbering" w:customStyle="1" w:styleId="Liste41">
    <w:name w:val="Liste 41"/>
    <w:basedOn w:val="Aucuneliste"/>
    <w:pPr>
      <w:numPr>
        <w:numId w:val="3"/>
      </w:numPr>
    </w:pPr>
  </w:style>
  <w:style w:type="numbering" w:customStyle="1" w:styleId="Liste51">
    <w:name w:val="Liste 51"/>
    <w:basedOn w:val="Aucuneliste"/>
    <w:pPr>
      <w:numPr>
        <w:numId w:val="4"/>
      </w:numPr>
    </w:pPr>
  </w:style>
  <w:style w:type="numbering" w:customStyle="1" w:styleId="List11">
    <w:name w:val="List 1_1"/>
    <w:basedOn w:val="Aucuneliste"/>
    <w:pPr>
      <w:numPr>
        <w:numId w:val="5"/>
      </w:numPr>
    </w:pPr>
  </w:style>
  <w:style w:type="numbering" w:customStyle="1" w:styleId="Numbering11">
    <w:name w:val="Numbering 1_1"/>
    <w:basedOn w:val="Aucuneliste"/>
    <w:pPr>
      <w:numPr>
        <w:numId w:val="6"/>
      </w:numPr>
    </w:pPr>
  </w:style>
  <w:style w:type="numbering" w:customStyle="1" w:styleId="Numbering21">
    <w:name w:val="Numbering 2_1"/>
    <w:basedOn w:val="Aucuneliste"/>
    <w:pPr>
      <w:numPr>
        <w:numId w:val="7"/>
      </w:numPr>
    </w:pPr>
  </w:style>
  <w:style w:type="numbering" w:customStyle="1" w:styleId="Numbering31">
    <w:name w:val="Numbering 3_1"/>
    <w:basedOn w:val="Aucuneliste"/>
    <w:pPr>
      <w:numPr>
        <w:numId w:val="8"/>
      </w:numPr>
    </w:pPr>
  </w:style>
  <w:style w:type="numbering" w:customStyle="1" w:styleId="WWNum3">
    <w:name w:val="WWNum3"/>
    <w:basedOn w:val="Aucuneliste"/>
    <w:pPr>
      <w:numPr>
        <w:numId w:val="9"/>
      </w:numPr>
    </w:pPr>
  </w:style>
  <w:style w:type="numbering" w:customStyle="1" w:styleId="WWNum4">
    <w:name w:val="WWNum4"/>
    <w:basedOn w:val="Aucuneliste"/>
    <w:pPr>
      <w:numPr>
        <w:numId w:val="10"/>
      </w:numPr>
    </w:pPr>
  </w:style>
  <w:style w:type="numbering" w:customStyle="1" w:styleId="WWNum1">
    <w:name w:val="WWNum1"/>
    <w:basedOn w:val="Aucuneliste"/>
    <w:pPr>
      <w:numPr>
        <w:numId w:val="11"/>
      </w:numPr>
    </w:pPr>
  </w:style>
  <w:style w:type="numbering" w:customStyle="1" w:styleId="WWNum2">
    <w:name w:val="WWNum2"/>
    <w:basedOn w:val="Aucuneliste"/>
    <w:pPr>
      <w:numPr>
        <w:numId w:val="12"/>
      </w:numPr>
    </w:pPr>
  </w:style>
  <w:style w:type="numbering" w:customStyle="1" w:styleId="WW8Num1">
    <w:name w:val="WW8Num1"/>
    <w:basedOn w:val="Aucuneliste"/>
    <w:pPr>
      <w:numPr>
        <w:numId w:val="13"/>
      </w:numPr>
    </w:pPr>
  </w:style>
  <w:style w:type="numbering" w:customStyle="1" w:styleId="WWNum1a">
    <w:name w:val="WWNum1a"/>
    <w:basedOn w:val="Aucuneliste"/>
    <w:pPr>
      <w:numPr>
        <w:numId w:val="14"/>
      </w:numPr>
    </w:pPr>
  </w:style>
  <w:style w:type="numbering" w:customStyle="1" w:styleId="WWNum2a">
    <w:name w:val="WWNum2a"/>
    <w:basedOn w:val="Aucuneliste"/>
    <w:pPr>
      <w:numPr>
        <w:numId w:val="15"/>
      </w:numPr>
    </w:pPr>
  </w:style>
  <w:style w:type="numbering" w:customStyle="1" w:styleId="WWNum1aa">
    <w:name w:val="WWNum1aa"/>
    <w:basedOn w:val="Aucuneliste"/>
    <w:pPr>
      <w:numPr>
        <w:numId w:val="16"/>
      </w:numPr>
    </w:pPr>
  </w:style>
  <w:style w:type="numbering" w:customStyle="1" w:styleId="WWNum1aaa">
    <w:name w:val="WWNum1aaa"/>
    <w:basedOn w:val="Aucuneliste"/>
    <w:pPr>
      <w:numPr>
        <w:numId w:val="17"/>
      </w:numPr>
    </w:pPr>
  </w:style>
  <w:style w:type="numbering" w:customStyle="1" w:styleId="WWNum1aaaa">
    <w:name w:val="WWNum1aaaa"/>
    <w:basedOn w:val="Aucuneliste"/>
    <w:pPr>
      <w:numPr>
        <w:numId w:val="18"/>
      </w:numPr>
    </w:pPr>
  </w:style>
  <w:style w:type="numbering" w:customStyle="1" w:styleId="WWNum1aaaaa">
    <w:name w:val="WWNum1aaaaa"/>
    <w:basedOn w:val="Aucuneliste"/>
    <w:pPr>
      <w:numPr>
        <w:numId w:val="19"/>
      </w:numPr>
    </w:pPr>
  </w:style>
  <w:style w:type="numbering" w:customStyle="1" w:styleId="WWNum1aaaaaa">
    <w:name w:val="WWNum1aaaaaa"/>
    <w:basedOn w:val="Aucuneliste"/>
    <w:pPr>
      <w:numPr>
        <w:numId w:val="20"/>
      </w:numPr>
    </w:pPr>
  </w:style>
  <w:style w:type="character" w:customStyle="1" w:styleId="Titre3Car">
    <w:name w:val="Titre 3 Car"/>
    <w:basedOn w:val="Policepardfaut"/>
    <w:link w:val="Titre3"/>
    <w:uiPriority w:val="9"/>
    <w:rsid w:val="00E442FC"/>
    <w:rPr>
      <w:rFonts w:ascii="Trebuchet MS" w:eastAsia="Trebuchet MS" w:hAnsi="Trebuchet MS" w:cs="Trebuchet MS"/>
      <w:b/>
      <w:bCs/>
      <w:i/>
      <w:iCs/>
      <w:color w:val="FFFFFF"/>
      <w:sz w:val="28"/>
      <w:szCs w:val="28"/>
      <w:shd w:val="clear" w:color="auto" w:fill="CFA8BC"/>
    </w:rPr>
  </w:style>
  <w:style w:type="paragraph" w:styleId="NormalWeb">
    <w:name w:val="Normal (Web)"/>
    <w:basedOn w:val="Normal"/>
    <w:uiPriority w:val="99"/>
    <w:semiHidden/>
    <w:unhideWhenUsed/>
    <w:rsid w:val="00F16E00"/>
    <w:pPr>
      <w:widowControl/>
      <w:suppressAutoHyphens w:val="0"/>
      <w:autoSpaceDN/>
      <w:spacing w:before="100" w:beforeAutospacing="1" w:after="100" w:afterAutospacing="1"/>
      <w:textAlignment w:val="auto"/>
    </w:pPr>
    <w:rPr>
      <w:rFonts w:ascii="Times New Roman" w:eastAsia="Times New Roman" w:hAnsi="Times New Roman" w:cs="Times New Roman"/>
      <w:kern w:val="0"/>
    </w:rPr>
  </w:style>
  <w:style w:type="character" w:styleId="lev">
    <w:name w:val="Strong"/>
    <w:basedOn w:val="Policepardfaut"/>
    <w:uiPriority w:val="22"/>
    <w:qFormat/>
    <w:rsid w:val="006D5D8D"/>
    <w:rPr>
      <w:b/>
      <w:bCs/>
    </w:rPr>
  </w:style>
  <w:style w:type="paragraph" w:styleId="Rvision">
    <w:name w:val="Revision"/>
    <w:hidden/>
    <w:uiPriority w:val="99"/>
    <w:semiHidden/>
    <w:rsid w:val="0066146B"/>
    <w:pPr>
      <w:widowControl/>
      <w:autoSpaceDN/>
      <w:textAlignment w:val="auto"/>
    </w:pPr>
  </w:style>
  <w:style w:type="paragraph" w:styleId="Commentaire">
    <w:name w:val="annotation text"/>
    <w:basedOn w:val="Normal"/>
    <w:link w:val="CommentaireCar"/>
    <w:uiPriority w:val="99"/>
    <w:semiHidden/>
    <w:unhideWhenUsed/>
    <w:rsid w:val="0066146B"/>
    <w:rPr>
      <w:sz w:val="20"/>
      <w:szCs w:val="20"/>
    </w:rPr>
  </w:style>
  <w:style w:type="character" w:customStyle="1" w:styleId="CommentaireCar">
    <w:name w:val="Commentaire Car"/>
    <w:basedOn w:val="Policepardfaut"/>
    <w:link w:val="Commentaire"/>
    <w:uiPriority w:val="99"/>
    <w:semiHidden/>
    <w:rsid w:val="0066146B"/>
    <w:rPr>
      <w:sz w:val="20"/>
      <w:szCs w:val="20"/>
    </w:rPr>
  </w:style>
  <w:style w:type="paragraph" w:styleId="Objetducommentaire">
    <w:name w:val="annotation subject"/>
    <w:basedOn w:val="Commentaire"/>
    <w:next w:val="Commentaire"/>
    <w:link w:val="ObjetducommentaireCar"/>
    <w:uiPriority w:val="99"/>
    <w:semiHidden/>
    <w:unhideWhenUsed/>
    <w:rsid w:val="0066146B"/>
    <w:rPr>
      <w:b/>
      <w:bCs/>
    </w:rPr>
  </w:style>
  <w:style w:type="character" w:customStyle="1" w:styleId="ObjetducommentaireCar">
    <w:name w:val="Objet du commentaire Car"/>
    <w:basedOn w:val="CommentaireCar"/>
    <w:link w:val="Objetducommentaire"/>
    <w:uiPriority w:val="99"/>
    <w:semiHidden/>
    <w:rsid w:val="006614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55037">
      <w:bodyDiv w:val="1"/>
      <w:marLeft w:val="0"/>
      <w:marRight w:val="0"/>
      <w:marTop w:val="0"/>
      <w:marBottom w:val="0"/>
      <w:divBdr>
        <w:top w:val="none" w:sz="0" w:space="0" w:color="auto"/>
        <w:left w:val="none" w:sz="0" w:space="0" w:color="auto"/>
        <w:bottom w:val="none" w:sz="0" w:space="0" w:color="auto"/>
        <w:right w:val="none" w:sz="0" w:space="0" w:color="auto"/>
      </w:divBdr>
      <w:divsChild>
        <w:div w:id="614026659">
          <w:marLeft w:val="0"/>
          <w:marRight w:val="0"/>
          <w:marTop w:val="0"/>
          <w:marBottom w:val="0"/>
          <w:divBdr>
            <w:top w:val="none" w:sz="0" w:space="0" w:color="auto"/>
            <w:left w:val="none" w:sz="0" w:space="0" w:color="auto"/>
            <w:bottom w:val="none" w:sz="0" w:space="0" w:color="auto"/>
            <w:right w:val="none" w:sz="0" w:space="0" w:color="auto"/>
          </w:divBdr>
          <w:divsChild>
            <w:div w:id="13469759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83906">
              <w:blockQuote w:val="1"/>
              <w:marLeft w:val="720"/>
              <w:marRight w:val="720"/>
              <w:marTop w:val="100"/>
              <w:marBottom w:val="100"/>
              <w:divBdr>
                <w:top w:val="none" w:sz="0" w:space="0" w:color="auto"/>
                <w:left w:val="none" w:sz="0" w:space="0" w:color="auto"/>
                <w:bottom w:val="none" w:sz="0" w:space="0" w:color="auto"/>
                <w:right w:val="none" w:sz="0" w:space="0" w:color="auto"/>
              </w:divBdr>
            </w:div>
            <w:div w:id="50393511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167807">
              <w:blockQuote w:val="1"/>
              <w:marLeft w:val="720"/>
              <w:marRight w:val="720"/>
              <w:marTop w:val="100"/>
              <w:marBottom w:val="100"/>
              <w:divBdr>
                <w:top w:val="none" w:sz="0" w:space="0" w:color="auto"/>
                <w:left w:val="none" w:sz="0" w:space="0" w:color="auto"/>
                <w:bottom w:val="none" w:sz="0" w:space="0" w:color="auto"/>
                <w:right w:val="none" w:sz="0" w:space="0" w:color="auto"/>
              </w:divBdr>
            </w:div>
            <w:div w:id="132791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3625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560985">
      <w:bodyDiv w:val="1"/>
      <w:marLeft w:val="0"/>
      <w:marRight w:val="0"/>
      <w:marTop w:val="0"/>
      <w:marBottom w:val="0"/>
      <w:divBdr>
        <w:top w:val="none" w:sz="0" w:space="0" w:color="auto"/>
        <w:left w:val="none" w:sz="0" w:space="0" w:color="auto"/>
        <w:bottom w:val="none" w:sz="0" w:space="0" w:color="auto"/>
        <w:right w:val="none" w:sz="0" w:space="0" w:color="auto"/>
      </w:divBdr>
      <w:divsChild>
        <w:div w:id="562177163">
          <w:marLeft w:val="0"/>
          <w:marRight w:val="0"/>
          <w:marTop w:val="0"/>
          <w:marBottom w:val="0"/>
          <w:divBdr>
            <w:top w:val="none" w:sz="0" w:space="0" w:color="auto"/>
            <w:left w:val="none" w:sz="0" w:space="0" w:color="auto"/>
            <w:bottom w:val="none" w:sz="0" w:space="0" w:color="auto"/>
            <w:right w:val="none" w:sz="0" w:space="0" w:color="auto"/>
          </w:divBdr>
        </w:div>
      </w:divsChild>
    </w:div>
    <w:div w:id="347758071">
      <w:bodyDiv w:val="1"/>
      <w:marLeft w:val="0"/>
      <w:marRight w:val="0"/>
      <w:marTop w:val="0"/>
      <w:marBottom w:val="0"/>
      <w:divBdr>
        <w:top w:val="none" w:sz="0" w:space="0" w:color="auto"/>
        <w:left w:val="none" w:sz="0" w:space="0" w:color="auto"/>
        <w:bottom w:val="none" w:sz="0" w:space="0" w:color="auto"/>
        <w:right w:val="none" w:sz="0" w:space="0" w:color="auto"/>
      </w:divBdr>
      <w:divsChild>
        <w:div w:id="897979297">
          <w:marLeft w:val="0"/>
          <w:marRight w:val="0"/>
          <w:marTop w:val="0"/>
          <w:marBottom w:val="0"/>
          <w:divBdr>
            <w:top w:val="none" w:sz="0" w:space="0" w:color="auto"/>
            <w:left w:val="none" w:sz="0" w:space="0" w:color="auto"/>
            <w:bottom w:val="none" w:sz="0" w:space="0" w:color="auto"/>
            <w:right w:val="none" w:sz="0" w:space="0" w:color="auto"/>
          </w:divBdr>
        </w:div>
      </w:divsChild>
    </w:div>
    <w:div w:id="432676787">
      <w:bodyDiv w:val="1"/>
      <w:marLeft w:val="0"/>
      <w:marRight w:val="0"/>
      <w:marTop w:val="0"/>
      <w:marBottom w:val="0"/>
      <w:divBdr>
        <w:top w:val="none" w:sz="0" w:space="0" w:color="auto"/>
        <w:left w:val="none" w:sz="0" w:space="0" w:color="auto"/>
        <w:bottom w:val="none" w:sz="0" w:space="0" w:color="auto"/>
        <w:right w:val="none" w:sz="0" w:space="0" w:color="auto"/>
      </w:divBdr>
      <w:divsChild>
        <w:div w:id="1472362448">
          <w:marLeft w:val="0"/>
          <w:marRight w:val="0"/>
          <w:marTop w:val="0"/>
          <w:marBottom w:val="0"/>
          <w:divBdr>
            <w:top w:val="none" w:sz="0" w:space="0" w:color="auto"/>
            <w:left w:val="none" w:sz="0" w:space="0" w:color="auto"/>
            <w:bottom w:val="none" w:sz="0" w:space="0" w:color="auto"/>
            <w:right w:val="none" w:sz="0" w:space="0" w:color="auto"/>
          </w:divBdr>
        </w:div>
      </w:divsChild>
    </w:div>
    <w:div w:id="516577333">
      <w:bodyDiv w:val="1"/>
      <w:marLeft w:val="0"/>
      <w:marRight w:val="0"/>
      <w:marTop w:val="0"/>
      <w:marBottom w:val="0"/>
      <w:divBdr>
        <w:top w:val="none" w:sz="0" w:space="0" w:color="auto"/>
        <w:left w:val="none" w:sz="0" w:space="0" w:color="auto"/>
        <w:bottom w:val="none" w:sz="0" w:space="0" w:color="auto"/>
        <w:right w:val="none" w:sz="0" w:space="0" w:color="auto"/>
      </w:divBdr>
    </w:div>
    <w:div w:id="745103748">
      <w:bodyDiv w:val="1"/>
      <w:marLeft w:val="0"/>
      <w:marRight w:val="0"/>
      <w:marTop w:val="0"/>
      <w:marBottom w:val="0"/>
      <w:divBdr>
        <w:top w:val="none" w:sz="0" w:space="0" w:color="auto"/>
        <w:left w:val="none" w:sz="0" w:space="0" w:color="auto"/>
        <w:bottom w:val="none" w:sz="0" w:space="0" w:color="auto"/>
        <w:right w:val="none" w:sz="0" w:space="0" w:color="auto"/>
      </w:divBdr>
      <w:divsChild>
        <w:div w:id="1681277978">
          <w:marLeft w:val="0"/>
          <w:marRight w:val="0"/>
          <w:marTop w:val="0"/>
          <w:marBottom w:val="0"/>
          <w:divBdr>
            <w:top w:val="none" w:sz="0" w:space="0" w:color="auto"/>
            <w:left w:val="none" w:sz="0" w:space="0" w:color="auto"/>
            <w:bottom w:val="none" w:sz="0" w:space="0" w:color="auto"/>
            <w:right w:val="none" w:sz="0" w:space="0" w:color="auto"/>
          </w:divBdr>
          <w:divsChild>
            <w:div w:id="1407727436">
              <w:marLeft w:val="0"/>
              <w:marRight w:val="0"/>
              <w:marTop w:val="0"/>
              <w:marBottom w:val="0"/>
              <w:divBdr>
                <w:top w:val="none" w:sz="0" w:space="0" w:color="auto"/>
                <w:left w:val="none" w:sz="0" w:space="0" w:color="auto"/>
                <w:bottom w:val="none" w:sz="0" w:space="0" w:color="auto"/>
                <w:right w:val="none" w:sz="0" w:space="0" w:color="auto"/>
              </w:divBdr>
              <w:divsChild>
                <w:div w:id="1124612619">
                  <w:marLeft w:val="0"/>
                  <w:marRight w:val="0"/>
                  <w:marTop w:val="0"/>
                  <w:marBottom w:val="0"/>
                  <w:divBdr>
                    <w:top w:val="none" w:sz="0" w:space="0" w:color="auto"/>
                    <w:left w:val="none" w:sz="0" w:space="0" w:color="auto"/>
                    <w:bottom w:val="none" w:sz="0" w:space="0" w:color="auto"/>
                    <w:right w:val="none" w:sz="0" w:space="0" w:color="auto"/>
                  </w:divBdr>
                  <w:divsChild>
                    <w:div w:id="2134247326">
                      <w:marLeft w:val="0"/>
                      <w:marRight w:val="0"/>
                      <w:marTop w:val="0"/>
                      <w:marBottom w:val="0"/>
                      <w:divBdr>
                        <w:top w:val="none" w:sz="0" w:space="0" w:color="auto"/>
                        <w:left w:val="none" w:sz="0" w:space="0" w:color="auto"/>
                        <w:bottom w:val="none" w:sz="0" w:space="0" w:color="auto"/>
                        <w:right w:val="none" w:sz="0" w:space="0" w:color="auto"/>
                      </w:divBdr>
                      <w:divsChild>
                        <w:div w:id="1507397933">
                          <w:marLeft w:val="0"/>
                          <w:marRight w:val="0"/>
                          <w:marTop w:val="0"/>
                          <w:marBottom w:val="0"/>
                          <w:divBdr>
                            <w:top w:val="none" w:sz="0" w:space="0" w:color="auto"/>
                            <w:left w:val="none" w:sz="0" w:space="0" w:color="auto"/>
                            <w:bottom w:val="none" w:sz="0" w:space="0" w:color="auto"/>
                            <w:right w:val="none" w:sz="0" w:space="0" w:color="auto"/>
                          </w:divBdr>
                          <w:divsChild>
                            <w:div w:id="1504932554">
                              <w:marLeft w:val="0"/>
                              <w:marRight w:val="0"/>
                              <w:marTop w:val="0"/>
                              <w:marBottom w:val="0"/>
                              <w:divBdr>
                                <w:top w:val="none" w:sz="0" w:space="0" w:color="auto"/>
                                <w:left w:val="none" w:sz="0" w:space="0" w:color="auto"/>
                                <w:bottom w:val="none" w:sz="0" w:space="0" w:color="auto"/>
                                <w:right w:val="none" w:sz="0" w:space="0" w:color="auto"/>
                              </w:divBdr>
                              <w:divsChild>
                                <w:div w:id="1887448119">
                                  <w:marLeft w:val="0"/>
                                  <w:marRight w:val="0"/>
                                  <w:marTop w:val="0"/>
                                  <w:marBottom w:val="0"/>
                                  <w:divBdr>
                                    <w:top w:val="none" w:sz="0" w:space="0" w:color="auto"/>
                                    <w:left w:val="none" w:sz="0" w:space="0" w:color="auto"/>
                                    <w:bottom w:val="none" w:sz="0" w:space="0" w:color="auto"/>
                                    <w:right w:val="none" w:sz="0" w:space="0" w:color="auto"/>
                                  </w:divBdr>
                                  <w:divsChild>
                                    <w:div w:id="1560164619">
                                      <w:marLeft w:val="0"/>
                                      <w:marRight w:val="0"/>
                                      <w:marTop w:val="0"/>
                                      <w:marBottom w:val="0"/>
                                      <w:divBdr>
                                        <w:top w:val="none" w:sz="0" w:space="0" w:color="auto"/>
                                        <w:left w:val="none" w:sz="0" w:space="0" w:color="auto"/>
                                        <w:bottom w:val="none" w:sz="0" w:space="0" w:color="auto"/>
                                        <w:right w:val="none" w:sz="0" w:space="0" w:color="auto"/>
                                      </w:divBdr>
                                      <w:divsChild>
                                        <w:div w:id="1240865483">
                                          <w:marLeft w:val="0"/>
                                          <w:marRight w:val="0"/>
                                          <w:marTop w:val="0"/>
                                          <w:marBottom w:val="0"/>
                                          <w:divBdr>
                                            <w:top w:val="none" w:sz="0" w:space="0" w:color="auto"/>
                                            <w:left w:val="none" w:sz="0" w:space="0" w:color="auto"/>
                                            <w:bottom w:val="none" w:sz="0" w:space="0" w:color="auto"/>
                                            <w:right w:val="none" w:sz="0" w:space="0" w:color="auto"/>
                                          </w:divBdr>
                                          <w:divsChild>
                                            <w:div w:id="847331011">
                                              <w:marLeft w:val="0"/>
                                              <w:marRight w:val="0"/>
                                              <w:marTop w:val="0"/>
                                              <w:marBottom w:val="0"/>
                                              <w:divBdr>
                                                <w:top w:val="none" w:sz="0" w:space="0" w:color="auto"/>
                                                <w:left w:val="none" w:sz="0" w:space="0" w:color="auto"/>
                                                <w:bottom w:val="none" w:sz="0" w:space="0" w:color="auto"/>
                                                <w:right w:val="none" w:sz="0" w:space="0" w:color="auto"/>
                                              </w:divBdr>
                                              <w:divsChild>
                                                <w:div w:id="1618488528">
                                                  <w:marLeft w:val="0"/>
                                                  <w:marRight w:val="0"/>
                                                  <w:marTop w:val="0"/>
                                                  <w:marBottom w:val="0"/>
                                                  <w:divBdr>
                                                    <w:top w:val="none" w:sz="0" w:space="0" w:color="auto"/>
                                                    <w:left w:val="none" w:sz="0" w:space="0" w:color="auto"/>
                                                    <w:bottom w:val="none" w:sz="0" w:space="0" w:color="auto"/>
                                                    <w:right w:val="none" w:sz="0" w:space="0" w:color="auto"/>
                                                  </w:divBdr>
                                                  <w:divsChild>
                                                    <w:div w:id="358120476">
                                                      <w:marLeft w:val="0"/>
                                                      <w:marRight w:val="0"/>
                                                      <w:marTop w:val="0"/>
                                                      <w:marBottom w:val="0"/>
                                                      <w:divBdr>
                                                        <w:top w:val="none" w:sz="0" w:space="0" w:color="auto"/>
                                                        <w:left w:val="none" w:sz="0" w:space="0" w:color="auto"/>
                                                        <w:bottom w:val="none" w:sz="0" w:space="0" w:color="auto"/>
                                                        <w:right w:val="none" w:sz="0" w:space="0" w:color="auto"/>
                                                      </w:divBdr>
                                                      <w:divsChild>
                                                        <w:div w:id="1057783153">
                                                          <w:marLeft w:val="0"/>
                                                          <w:marRight w:val="0"/>
                                                          <w:marTop w:val="0"/>
                                                          <w:marBottom w:val="0"/>
                                                          <w:divBdr>
                                                            <w:top w:val="none" w:sz="0" w:space="0" w:color="auto"/>
                                                            <w:left w:val="none" w:sz="0" w:space="0" w:color="auto"/>
                                                            <w:bottom w:val="none" w:sz="0" w:space="0" w:color="auto"/>
                                                            <w:right w:val="none" w:sz="0" w:space="0" w:color="auto"/>
                                                          </w:divBdr>
                                                          <w:divsChild>
                                                            <w:div w:id="424423179">
                                                              <w:marLeft w:val="0"/>
                                                              <w:marRight w:val="0"/>
                                                              <w:marTop w:val="0"/>
                                                              <w:marBottom w:val="0"/>
                                                              <w:divBdr>
                                                                <w:top w:val="none" w:sz="0" w:space="0" w:color="auto"/>
                                                                <w:left w:val="none" w:sz="0" w:space="0" w:color="auto"/>
                                                                <w:bottom w:val="none" w:sz="0" w:space="0" w:color="auto"/>
                                                                <w:right w:val="none" w:sz="0" w:space="0" w:color="auto"/>
                                                              </w:divBdr>
                                                              <w:divsChild>
                                                                <w:div w:id="542982299">
                                                                  <w:marLeft w:val="0"/>
                                                                  <w:marRight w:val="0"/>
                                                                  <w:marTop w:val="0"/>
                                                                  <w:marBottom w:val="0"/>
                                                                  <w:divBdr>
                                                                    <w:top w:val="none" w:sz="0" w:space="0" w:color="auto"/>
                                                                    <w:left w:val="none" w:sz="0" w:space="0" w:color="auto"/>
                                                                    <w:bottom w:val="none" w:sz="0" w:space="0" w:color="auto"/>
                                                                    <w:right w:val="none" w:sz="0" w:space="0" w:color="auto"/>
                                                                  </w:divBdr>
                                                                  <w:divsChild>
                                                                    <w:div w:id="857498973">
                                                                      <w:blockQuote w:val="1"/>
                                                                      <w:marLeft w:val="720"/>
                                                                      <w:marRight w:val="720"/>
                                                                      <w:marTop w:val="100"/>
                                                                      <w:marBottom w:val="100"/>
                                                                      <w:divBdr>
                                                                        <w:top w:val="none" w:sz="0" w:space="0" w:color="auto"/>
                                                                        <w:left w:val="none" w:sz="0" w:space="0" w:color="auto"/>
                                                                        <w:bottom w:val="none" w:sz="0" w:space="0" w:color="auto"/>
                                                                        <w:right w:val="none" w:sz="0" w:space="0" w:color="auto"/>
                                                                      </w:divBdr>
                                                                    </w:div>
                                                                    <w:div w:id="916288040">
                                                                      <w:blockQuote w:val="1"/>
                                                                      <w:marLeft w:val="720"/>
                                                                      <w:marRight w:val="720"/>
                                                                      <w:marTop w:val="100"/>
                                                                      <w:marBottom w:val="100"/>
                                                                      <w:divBdr>
                                                                        <w:top w:val="none" w:sz="0" w:space="0" w:color="auto"/>
                                                                        <w:left w:val="none" w:sz="0" w:space="0" w:color="auto"/>
                                                                        <w:bottom w:val="none" w:sz="0" w:space="0" w:color="auto"/>
                                                                        <w:right w:val="none" w:sz="0" w:space="0" w:color="auto"/>
                                                                      </w:divBdr>
                                                                    </w:div>
                                                                    <w:div w:id="2312328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34815304">
      <w:bodyDiv w:val="1"/>
      <w:marLeft w:val="0"/>
      <w:marRight w:val="0"/>
      <w:marTop w:val="0"/>
      <w:marBottom w:val="0"/>
      <w:divBdr>
        <w:top w:val="none" w:sz="0" w:space="0" w:color="auto"/>
        <w:left w:val="none" w:sz="0" w:space="0" w:color="auto"/>
        <w:bottom w:val="none" w:sz="0" w:space="0" w:color="auto"/>
        <w:right w:val="none" w:sz="0" w:space="0" w:color="auto"/>
      </w:divBdr>
      <w:divsChild>
        <w:div w:id="1860003415">
          <w:marLeft w:val="0"/>
          <w:marRight w:val="0"/>
          <w:marTop w:val="0"/>
          <w:marBottom w:val="0"/>
          <w:divBdr>
            <w:top w:val="none" w:sz="0" w:space="0" w:color="auto"/>
            <w:left w:val="none" w:sz="0" w:space="0" w:color="auto"/>
            <w:bottom w:val="none" w:sz="0" w:space="0" w:color="auto"/>
            <w:right w:val="none" w:sz="0" w:space="0" w:color="auto"/>
          </w:divBdr>
        </w:div>
      </w:divsChild>
    </w:div>
    <w:div w:id="1490826465">
      <w:bodyDiv w:val="1"/>
      <w:marLeft w:val="0"/>
      <w:marRight w:val="0"/>
      <w:marTop w:val="0"/>
      <w:marBottom w:val="0"/>
      <w:divBdr>
        <w:top w:val="none" w:sz="0" w:space="0" w:color="auto"/>
        <w:left w:val="none" w:sz="0" w:space="0" w:color="auto"/>
        <w:bottom w:val="none" w:sz="0" w:space="0" w:color="auto"/>
        <w:right w:val="none" w:sz="0" w:space="0" w:color="auto"/>
      </w:divBdr>
      <w:divsChild>
        <w:div w:id="1082293142">
          <w:marLeft w:val="0"/>
          <w:marRight w:val="0"/>
          <w:marTop w:val="0"/>
          <w:marBottom w:val="0"/>
          <w:divBdr>
            <w:top w:val="none" w:sz="0" w:space="0" w:color="auto"/>
            <w:left w:val="none" w:sz="0" w:space="0" w:color="auto"/>
            <w:bottom w:val="none" w:sz="0" w:space="0" w:color="auto"/>
            <w:right w:val="none" w:sz="0" w:space="0" w:color="auto"/>
          </w:divBdr>
        </w:div>
      </w:divsChild>
    </w:div>
    <w:div w:id="1511603237">
      <w:bodyDiv w:val="1"/>
      <w:marLeft w:val="0"/>
      <w:marRight w:val="0"/>
      <w:marTop w:val="0"/>
      <w:marBottom w:val="0"/>
      <w:divBdr>
        <w:top w:val="none" w:sz="0" w:space="0" w:color="auto"/>
        <w:left w:val="none" w:sz="0" w:space="0" w:color="auto"/>
        <w:bottom w:val="none" w:sz="0" w:space="0" w:color="auto"/>
        <w:right w:val="none" w:sz="0" w:space="0" w:color="auto"/>
      </w:divBdr>
      <w:divsChild>
        <w:div w:id="1704090776">
          <w:marLeft w:val="0"/>
          <w:marRight w:val="0"/>
          <w:marTop w:val="0"/>
          <w:marBottom w:val="0"/>
          <w:divBdr>
            <w:top w:val="none" w:sz="0" w:space="0" w:color="auto"/>
            <w:left w:val="none" w:sz="0" w:space="0" w:color="auto"/>
            <w:bottom w:val="none" w:sz="0" w:space="0" w:color="auto"/>
            <w:right w:val="none" w:sz="0" w:space="0" w:color="auto"/>
          </w:divBdr>
        </w:div>
      </w:divsChild>
    </w:div>
    <w:div w:id="1572350433">
      <w:bodyDiv w:val="1"/>
      <w:marLeft w:val="0"/>
      <w:marRight w:val="0"/>
      <w:marTop w:val="0"/>
      <w:marBottom w:val="0"/>
      <w:divBdr>
        <w:top w:val="none" w:sz="0" w:space="0" w:color="auto"/>
        <w:left w:val="none" w:sz="0" w:space="0" w:color="auto"/>
        <w:bottom w:val="none" w:sz="0" w:space="0" w:color="auto"/>
        <w:right w:val="none" w:sz="0" w:space="0" w:color="auto"/>
      </w:divBdr>
      <w:divsChild>
        <w:div w:id="20329741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jn.de-casanove\AppData\Local\Temp\2025-03-18%20-%20projet%20DL%20-%20CSAM.odt\Compte-rendu"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8B0FF-2C74-469D-96B1-D9EF8FE11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Compte-rendu</Template>
  <TotalTime>1</TotalTime>
  <Pages>7</Pages>
  <Words>2045</Words>
  <Characters>11248</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Déclaration liminaire de l'Alliance du trèfle</vt:lpstr>
    </vt:vector>
  </TitlesOfParts>
  <Company/>
  <LinksUpToDate>false</LinksUpToDate>
  <CharactersWithSpaces>13267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Déclaration liminaire de l'Alliance du trèfle</dc:title>
  <dc:subject>CSA Ministériel</dc:subject>
  <dc:creator>Emilie CERISIER</dc:creator>
  <cp:lastModifiedBy>Sophie GARDEL</cp:lastModifiedBy>
  <cp:revision>2</cp:revision>
  <cp:lastPrinted>2026-11-03T13:21:00Z</cp:lastPrinted>
  <dcterms:created xsi:type="dcterms:W3CDTF">2026-11-05T09:41:00Z</dcterms:created>
  <dcterms:modified xsi:type="dcterms:W3CDTF">2026-11-05T09:41:00Z</dcterms:modified>
</cp:coreProperties>
</file>